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E0D67" w14:textId="63748BE9" w:rsidR="00634F7F" w:rsidRDefault="0005450A">
      <w:pPr>
        <w:rPr>
          <w:b/>
        </w:rPr>
      </w:pPr>
      <w:r w:rsidRPr="0005450A">
        <w:rPr>
          <w:b/>
        </w:rPr>
        <w:t>Załącznik nr 5 – specyfikacja dla skanera dokumentów</w:t>
      </w:r>
      <w:bookmarkStart w:id="0" w:name="_GoBack"/>
      <w:bookmarkEnd w:id="0"/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1"/>
        <w:gridCol w:w="6791"/>
      </w:tblGrid>
      <w:tr w:rsidR="00634F7F" w:rsidRPr="00634F7F" w14:paraId="1B2BF68D" w14:textId="77777777" w:rsidTr="00634F7F">
        <w:trPr>
          <w:tblCellSpacing w:w="7" w:type="dxa"/>
        </w:trPr>
        <w:tc>
          <w:tcPr>
            <w:tcW w:w="2250" w:type="dxa"/>
            <w:hideMark/>
          </w:tcPr>
          <w:p w14:paraId="0A40F1B1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Rodzaj czujnika skanowania obrazu</w:t>
            </w:r>
          </w:p>
        </w:tc>
        <w:tc>
          <w:tcPr>
            <w:tcW w:w="0" w:type="auto"/>
            <w:hideMark/>
          </w:tcPr>
          <w:p w14:paraId="7884D6A8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>Kolorowe matryce CCD</w:t>
            </w:r>
          </w:p>
        </w:tc>
      </w:tr>
      <w:tr w:rsidR="00634F7F" w:rsidRPr="00634F7F" w14:paraId="2ED3D62C" w14:textId="77777777" w:rsidTr="00634F7F">
        <w:trPr>
          <w:tblCellSpacing w:w="7" w:type="dxa"/>
        </w:trPr>
        <w:tc>
          <w:tcPr>
            <w:tcW w:w="2250" w:type="dxa"/>
            <w:hideMark/>
          </w:tcPr>
          <w:p w14:paraId="009E3B18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Źródło światła</w:t>
            </w:r>
          </w:p>
        </w:tc>
        <w:tc>
          <w:tcPr>
            <w:tcW w:w="0" w:type="auto"/>
            <w:hideMark/>
          </w:tcPr>
          <w:p w14:paraId="514DC037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>RGB LED (przód x1, tył x1)</w:t>
            </w:r>
          </w:p>
        </w:tc>
      </w:tr>
      <w:tr w:rsidR="00634F7F" w:rsidRPr="00634F7F" w14:paraId="1A88E784" w14:textId="77777777" w:rsidTr="00634F7F">
        <w:trPr>
          <w:tblCellSpacing w:w="7" w:type="dxa"/>
        </w:trPr>
        <w:tc>
          <w:tcPr>
            <w:tcW w:w="2250" w:type="dxa"/>
            <w:hideMark/>
          </w:tcPr>
          <w:p w14:paraId="0FCC3346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Rozdzielczość optyczna</w:t>
            </w:r>
          </w:p>
        </w:tc>
        <w:tc>
          <w:tcPr>
            <w:tcW w:w="0" w:type="auto"/>
            <w:hideMark/>
          </w:tcPr>
          <w:p w14:paraId="27D7BD61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 xml:space="preserve">600 </w:t>
            </w:r>
            <w:proofErr w:type="spellStart"/>
            <w:r w:rsidRPr="00634F7F">
              <w:rPr>
                <w:rFonts w:eastAsia="Times New Roman" w:cs="Times New Roman"/>
                <w:szCs w:val="24"/>
                <w:lang w:eastAsia="pl-PL"/>
              </w:rPr>
              <w:t>dpi</w:t>
            </w:r>
            <w:proofErr w:type="spellEnd"/>
          </w:p>
        </w:tc>
      </w:tr>
      <w:tr w:rsidR="00634F7F" w:rsidRPr="00634F7F" w14:paraId="074D350B" w14:textId="77777777" w:rsidTr="00634F7F">
        <w:trPr>
          <w:tblCellSpacing w:w="7" w:type="dxa"/>
        </w:trPr>
        <w:tc>
          <w:tcPr>
            <w:tcW w:w="2250" w:type="dxa"/>
            <w:hideMark/>
          </w:tcPr>
          <w:p w14:paraId="11266C0D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Rozdzielczość wyjściowa</w:t>
            </w:r>
          </w:p>
        </w:tc>
        <w:tc>
          <w:tcPr>
            <w:tcW w:w="0" w:type="auto"/>
            <w:hideMark/>
          </w:tcPr>
          <w:p w14:paraId="0A0BF1F0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>Kolor (24-bitowy), Skala szarości (8 bitów),  mono 1-bit</w:t>
            </w:r>
          </w:p>
        </w:tc>
      </w:tr>
      <w:tr w:rsidR="00634F7F" w:rsidRPr="00634F7F" w14:paraId="33DB2AD3" w14:textId="77777777" w:rsidTr="00634F7F">
        <w:trPr>
          <w:tblCellSpacing w:w="7" w:type="dxa"/>
        </w:trPr>
        <w:tc>
          <w:tcPr>
            <w:tcW w:w="2250" w:type="dxa"/>
            <w:hideMark/>
          </w:tcPr>
          <w:p w14:paraId="37F8AAF5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Kolor tła</w:t>
            </w:r>
          </w:p>
        </w:tc>
        <w:tc>
          <w:tcPr>
            <w:tcW w:w="0" w:type="auto"/>
            <w:hideMark/>
          </w:tcPr>
          <w:p w14:paraId="59C3492D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>Biały / Czarny (z możliwością wyboru)</w:t>
            </w:r>
          </w:p>
        </w:tc>
      </w:tr>
      <w:tr w:rsidR="00634F7F" w:rsidRPr="00634F7F" w14:paraId="2F135284" w14:textId="77777777" w:rsidTr="00634F7F">
        <w:trPr>
          <w:tblCellSpacing w:w="7" w:type="dxa"/>
        </w:trPr>
        <w:tc>
          <w:tcPr>
            <w:tcW w:w="2250" w:type="dxa"/>
            <w:hideMark/>
          </w:tcPr>
          <w:p w14:paraId="7A06B492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Funkcje przetwarzania obrazu</w:t>
            </w:r>
          </w:p>
        </w:tc>
        <w:tc>
          <w:tcPr>
            <w:tcW w:w="0" w:type="auto"/>
            <w:hideMark/>
          </w:tcPr>
          <w:p w14:paraId="6E4A2FA9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>Wyjście wielostrumieniowe, automatyczna detekcja koloru, detekcja pustych stron, dynamiczna binaryzacja (</w:t>
            </w:r>
            <w:proofErr w:type="spellStart"/>
            <w:r w:rsidRPr="00634F7F">
              <w:rPr>
                <w:rFonts w:eastAsia="Times New Roman" w:cs="Times New Roman"/>
                <w:szCs w:val="24"/>
                <w:lang w:eastAsia="pl-PL"/>
              </w:rPr>
              <w:t>iDTC</w:t>
            </w:r>
            <w:proofErr w:type="spellEnd"/>
            <w:r w:rsidRPr="00634F7F">
              <w:rPr>
                <w:rFonts w:eastAsia="Times New Roman" w:cs="Times New Roman"/>
                <w:szCs w:val="24"/>
                <w:lang w:eastAsia="pl-PL"/>
              </w:rPr>
              <w:t xml:space="preserve">), zaawansowana binaryzacja DTC, SDTC, dyfuzja błędów, </w:t>
            </w:r>
            <w:proofErr w:type="spellStart"/>
            <w:r w:rsidRPr="00634F7F">
              <w:rPr>
                <w:rFonts w:eastAsia="Times New Roman" w:cs="Times New Roman"/>
                <w:szCs w:val="24"/>
                <w:lang w:eastAsia="pl-PL"/>
              </w:rPr>
              <w:t>dithering</w:t>
            </w:r>
            <w:proofErr w:type="spellEnd"/>
            <w:r w:rsidRPr="00634F7F"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  <w:proofErr w:type="spellStart"/>
            <w:r w:rsidRPr="00634F7F">
              <w:rPr>
                <w:rFonts w:eastAsia="Times New Roman" w:cs="Times New Roman"/>
                <w:szCs w:val="24"/>
                <w:lang w:eastAsia="pl-PL"/>
              </w:rPr>
              <w:t>derasteryzacja</w:t>
            </w:r>
            <w:proofErr w:type="spellEnd"/>
            <w:r w:rsidRPr="00634F7F">
              <w:rPr>
                <w:rFonts w:eastAsia="Times New Roman" w:cs="Times New Roman"/>
                <w:szCs w:val="24"/>
                <w:lang w:eastAsia="pl-PL"/>
              </w:rPr>
              <w:t xml:space="preserve">, uwydatnianie, usuwanie koloru (brak, czerwony, zielony, niebieski, biały, nasycenie, własny), odwzorowanie </w:t>
            </w:r>
            <w:proofErr w:type="spellStart"/>
            <w:r w:rsidRPr="00634F7F">
              <w:rPr>
                <w:rFonts w:eastAsia="Times New Roman" w:cs="Times New Roman"/>
                <w:szCs w:val="24"/>
                <w:lang w:eastAsia="pl-PL"/>
              </w:rPr>
              <w:t>sRGB</w:t>
            </w:r>
            <w:proofErr w:type="spellEnd"/>
            <w:r w:rsidRPr="00634F7F">
              <w:rPr>
                <w:rFonts w:eastAsia="Times New Roman" w:cs="Times New Roman"/>
                <w:szCs w:val="24"/>
                <w:lang w:eastAsia="pl-PL"/>
              </w:rPr>
              <w:t>, usuwanie otworów po dziurkaczu, przycinanie zakładek indeksowych, dzielenie obrazu, prostowanie, wypełnianie krawędzi, redukcja pionowych smug, usuwanie elementów tła, przycinanie, statyczna binaryzacja</w:t>
            </w:r>
          </w:p>
        </w:tc>
      </w:tr>
      <w:tr w:rsidR="00634F7F" w:rsidRPr="00634F7F" w14:paraId="20333824" w14:textId="77777777" w:rsidTr="00634F7F">
        <w:trPr>
          <w:tblCellSpacing w:w="7" w:type="dxa"/>
        </w:trPr>
        <w:tc>
          <w:tcPr>
            <w:tcW w:w="2250" w:type="dxa"/>
            <w:hideMark/>
          </w:tcPr>
          <w:p w14:paraId="13516FFE" w14:textId="1736F6BF" w:rsidR="00634F7F" w:rsidRPr="00634F7F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Prędkość skanowania</w:t>
            </w:r>
          </w:p>
        </w:tc>
        <w:tc>
          <w:tcPr>
            <w:tcW w:w="0" w:type="auto"/>
            <w:hideMark/>
          </w:tcPr>
          <w:p w14:paraId="3642152D" w14:textId="755266BC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 xml:space="preserve">ADF - Jednostronny: 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min. </w:t>
            </w:r>
            <w:r w:rsidRPr="00634F7F">
              <w:rPr>
                <w:rFonts w:eastAsia="Times New Roman" w:cs="Times New Roman"/>
                <w:szCs w:val="24"/>
                <w:lang w:eastAsia="pl-PL"/>
              </w:rPr>
              <w:t xml:space="preserve">50 str./min, dwustronny: 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min. </w:t>
            </w:r>
            <w:r w:rsidRPr="00634F7F">
              <w:rPr>
                <w:rFonts w:eastAsia="Times New Roman" w:cs="Times New Roman"/>
                <w:szCs w:val="24"/>
                <w:lang w:eastAsia="pl-PL"/>
              </w:rPr>
              <w:t xml:space="preserve">100 </w:t>
            </w:r>
            <w:proofErr w:type="spellStart"/>
            <w:r w:rsidRPr="00634F7F">
              <w:rPr>
                <w:rFonts w:eastAsia="Times New Roman" w:cs="Times New Roman"/>
                <w:szCs w:val="24"/>
                <w:lang w:eastAsia="pl-PL"/>
              </w:rPr>
              <w:t>obr</w:t>
            </w:r>
            <w:proofErr w:type="spellEnd"/>
            <w:r w:rsidRPr="00634F7F">
              <w:rPr>
                <w:rFonts w:eastAsia="Times New Roman" w:cs="Times New Roman"/>
                <w:szCs w:val="24"/>
                <w:lang w:eastAsia="pl-PL"/>
              </w:rPr>
              <w:t xml:space="preserve">./min (200 </w:t>
            </w:r>
            <w:proofErr w:type="spellStart"/>
            <w:r w:rsidRPr="00634F7F">
              <w:rPr>
                <w:rFonts w:eastAsia="Times New Roman" w:cs="Times New Roman"/>
                <w:szCs w:val="24"/>
                <w:lang w:eastAsia="pl-PL"/>
              </w:rPr>
              <w:t>dpi</w:t>
            </w:r>
            <w:proofErr w:type="spellEnd"/>
            <w:r w:rsidRPr="00634F7F">
              <w:rPr>
                <w:rFonts w:eastAsia="Times New Roman" w:cs="Times New Roman"/>
                <w:szCs w:val="24"/>
                <w:lang w:eastAsia="pl-PL"/>
              </w:rPr>
              <w:t xml:space="preserve"> / 300 </w:t>
            </w:r>
            <w:proofErr w:type="spellStart"/>
            <w:r w:rsidRPr="00634F7F">
              <w:rPr>
                <w:rFonts w:eastAsia="Times New Roman" w:cs="Times New Roman"/>
                <w:szCs w:val="24"/>
                <w:lang w:eastAsia="pl-PL"/>
              </w:rPr>
              <w:t>dpi</w:t>
            </w:r>
            <w:proofErr w:type="spellEnd"/>
            <w:r w:rsidRPr="00634F7F">
              <w:rPr>
                <w:rFonts w:eastAsia="Times New Roman" w:cs="Times New Roman"/>
                <w:szCs w:val="24"/>
                <w:lang w:eastAsia="pl-PL"/>
              </w:rPr>
              <w:t>).</w:t>
            </w:r>
          </w:p>
        </w:tc>
      </w:tr>
      <w:tr w:rsidR="00634F7F" w:rsidRPr="00634F7F" w14:paraId="303E76B3" w14:textId="77777777" w:rsidTr="00634F7F">
        <w:trPr>
          <w:tblCellSpacing w:w="7" w:type="dxa"/>
        </w:trPr>
        <w:tc>
          <w:tcPr>
            <w:tcW w:w="2250" w:type="dxa"/>
            <w:hideMark/>
          </w:tcPr>
          <w:p w14:paraId="67FD79EB" w14:textId="32BAE91D" w:rsidR="00634F7F" w:rsidRPr="00634F7F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Pojemność ADF</w:t>
            </w:r>
          </w:p>
        </w:tc>
        <w:tc>
          <w:tcPr>
            <w:tcW w:w="0" w:type="auto"/>
            <w:hideMark/>
          </w:tcPr>
          <w:p w14:paraId="023B1919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>100 arkuszy (A4 80 g/m²)</w:t>
            </w:r>
          </w:p>
        </w:tc>
      </w:tr>
      <w:tr w:rsidR="00634F7F" w:rsidRPr="00634F7F" w14:paraId="2D8A9412" w14:textId="77777777" w:rsidTr="00634F7F">
        <w:trPr>
          <w:tblCellSpacing w:w="7" w:type="dxa"/>
        </w:trPr>
        <w:tc>
          <w:tcPr>
            <w:tcW w:w="2250" w:type="dxa"/>
            <w:hideMark/>
          </w:tcPr>
          <w:p w14:paraId="675C87B8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Dzienna przepustowość</w:t>
            </w:r>
          </w:p>
        </w:tc>
        <w:tc>
          <w:tcPr>
            <w:tcW w:w="0" w:type="auto"/>
            <w:hideMark/>
          </w:tcPr>
          <w:p w14:paraId="63CF94C1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>8 000 arkuszy</w:t>
            </w:r>
          </w:p>
        </w:tc>
      </w:tr>
      <w:tr w:rsidR="00634F7F" w:rsidRPr="00634F7F" w14:paraId="5702D8BD" w14:textId="77777777" w:rsidTr="00634F7F">
        <w:trPr>
          <w:tblCellSpacing w:w="7" w:type="dxa"/>
        </w:trPr>
        <w:tc>
          <w:tcPr>
            <w:tcW w:w="2250" w:type="dxa"/>
            <w:hideMark/>
          </w:tcPr>
          <w:p w14:paraId="385F35DB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Format dokumentu</w:t>
            </w:r>
          </w:p>
        </w:tc>
        <w:tc>
          <w:tcPr>
            <w:tcW w:w="0" w:type="auto"/>
            <w:hideMark/>
          </w:tcPr>
          <w:p w14:paraId="37A1D8B1" w14:textId="2392BD55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>ADF min. 48 mm x 50 mm</w:t>
            </w:r>
            <w:r w:rsidRPr="00634F7F">
              <w:rPr>
                <w:rFonts w:eastAsia="Times New Roman" w:cs="Times New Roman"/>
                <w:szCs w:val="24"/>
                <w:lang w:eastAsia="pl-PL"/>
              </w:rPr>
              <w:br/>
              <w:t>ADF maks.</w:t>
            </w:r>
            <w:r w:rsidRPr="00634F7F">
              <w:rPr>
                <w:rFonts w:eastAsia="Times New Roman" w:cs="Times New Roman"/>
                <w:szCs w:val="24"/>
                <w:vertAlign w:val="superscript"/>
                <w:lang w:eastAsia="pl-PL"/>
              </w:rPr>
              <w:t> </w:t>
            </w:r>
            <w:r w:rsidRPr="00634F7F">
              <w:rPr>
                <w:rFonts w:eastAsia="Times New Roman" w:cs="Times New Roman"/>
                <w:szCs w:val="24"/>
                <w:lang w:eastAsia="pl-PL"/>
              </w:rPr>
              <w:t>215.9 mm x 355,6 mm</w:t>
            </w:r>
          </w:p>
        </w:tc>
      </w:tr>
      <w:tr w:rsidR="00634F7F" w:rsidRPr="00634F7F" w14:paraId="322615ED" w14:textId="77777777" w:rsidTr="00634F7F">
        <w:trPr>
          <w:tblCellSpacing w:w="7" w:type="dxa"/>
        </w:trPr>
        <w:tc>
          <w:tcPr>
            <w:tcW w:w="2250" w:type="dxa"/>
            <w:hideMark/>
          </w:tcPr>
          <w:p w14:paraId="2341ADB8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Podawanie ADF </w:t>
            </w: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br/>
              <w:t>Gramatura papieru </w:t>
            </w: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br/>
              <w:t>(grubość)</w:t>
            </w:r>
          </w:p>
        </w:tc>
        <w:tc>
          <w:tcPr>
            <w:tcW w:w="0" w:type="auto"/>
            <w:hideMark/>
          </w:tcPr>
          <w:p w14:paraId="29B22444" w14:textId="6BAE5400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>Papier od 20 g/m² do 465 g/m²</w:t>
            </w:r>
            <w:r w:rsidRPr="00634F7F">
              <w:rPr>
                <w:rFonts w:eastAsia="Times New Roman" w:cs="Times New Roman"/>
                <w:szCs w:val="24"/>
                <w:lang w:eastAsia="pl-PL"/>
              </w:rPr>
              <w:br/>
              <w:t>Broszura  7 mm lub mniej</w:t>
            </w:r>
            <w:r w:rsidRPr="00634F7F">
              <w:rPr>
                <w:rFonts w:eastAsia="Times New Roman" w:cs="Times New Roman"/>
                <w:szCs w:val="24"/>
                <w:lang w:eastAsia="pl-PL"/>
              </w:rPr>
              <w:br/>
              <w:t>Karta</w:t>
            </w:r>
            <w:r w:rsidRPr="00634F7F">
              <w:rPr>
                <w:rFonts w:eastAsia="Times New Roman" w:cs="Times New Roman"/>
                <w:szCs w:val="24"/>
                <w:vertAlign w:val="superscript"/>
                <w:lang w:eastAsia="pl-PL"/>
              </w:rPr>
              <w:t xml:space="preserve"> </w:t>
            </w:r>
            <w:r w:rsidRPr="00634F7F">
              <w:rPr>
                <w:rFonts w:eastAsia="Times New Roman" w:cs="Times New Roman"/>
                <w:szCs w:val="24"/>
                <w:lang w:eastAsia="pl-PL"/>
              </w:rPr>
              <w:t>1,4 mm lub mniej</w:t>
            </w:r>
          </w:p>
        </w:tc>
      </w:tr>
      <w:tr w:rsidR="00634F7F" w:rsidRPr="00634F7F" w14:paraId="4E116525" w14:textId="77777777" w:rsidTr="00634F7F">
        <w:trPr>
          <w:trHeight w:val="611"/>
          <w:tblCellSpacing w:w="7" w:type="dxa"/>
        </w:trPr>
        <w:tc>
          <w:tcPr>
            <w:tcW w:w="2250" w:type="dxa"/>
            <w:hideMark/>
          </w:tcPr>
          <w:p w14:paraId="7A23FB0A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Interfejs</w:t>
            </w:r>
          </w:p>
        </w:tc>
        <w:tc>
          <w:tcPr>
            <w:tcW w:w="0" w:type="auto"/>
            <w:hideMark/>
          </w:tcPr>
          <w:p w14:paraId="51629595" w14:textId="77777777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>USB 3.2 Gen1x1 / USB 2.0 / USB 1.1</w:t>
            </w:r>
            <w:r w:rsidRPr="00634F7F">
              <w:rPr>
                <w:rFonts w:eastAsia="Times New Roman" w:cs="Times New Roman"/>
                <w:szCs w:val="24"/>
                <w:lang w:eastAsia="pl-PL"/>
              </w:rPr>
              <w:br/>
              <w:t>Ethernet 10BASE-T, 100BASE-TX, 1000BASE-T</w:t>
            </w:r>
          </w:p>
        </w:tc>
      </w:tr>
      <w:tr w:rsidR="00634F7F" w:rsidRPr="00634F7F" w14:paraId="6F4D6F66" w14:textId="77777777" w:rsidTr="00634F7F">
        <w:trPr>
          <w:trHeight w:val="611"/>
          <w:tblCellSpacing w:w="7" w:type="dxa"/>
        </w:trPr>
        <w:tc>
          <w:tcPr>
            <w:tcW w:w="2250" w:type="dxa"/>
          </w:tcPr>
          <w:p w14:paraId="2FF4EC02" w14:textId="3BAACA93" w:rsidR="00634F7F" w:rsidRPr="00381D97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Wymagania dotyczące zasilania</w:t>
            </w:r>
          </w:p>
        </w:tc>
        <w:tc>
          <w:tcPr>
            <w:tcW w:w="0" w:type="auto"/>
          </w:tcPr>
          <w:p w14:paraId="620EDD52" w14:textId="222A35AE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 xml:space="preserve">240 V 50/60 </w:t>
            </w:r>
            <w:proofErr w:type="spellStart"/>
            <w:r w:rsidRPr="00634F7F">
              <w:rPr>
                <w:rFonts w:eastAsia="Times New Roman" w:cs="Times New Roman"/>
                <w:szCs w:val="24"/>
                <w:lang w:eastAsia="pl-PL"/>
              </w:rPr>
              <w:t>Hz</w:t>
            </w:r>
            <w:proofErr w:type="spellEnd"/>
          </w:p>
        </w:tc>
      </w:tr>
      <w:tr w:rsidR="00634F7F" w:rsidRPr="00634F7F" w14:paraId="49B46F56" w14:textId="77777777" w:rsidTr="00634F7F">
        <w:trPr>
          <w:trHeight w:val="611"/>
          <w:tblCellSpacing w:w="7" w:type="dxa"/>
        </w:trPr>
        <w:tc>
          <w:tcPr>
            <w:tcW w:w="2250" w:type="dxa"/>
          </w:tcPr>
          <w:p w14:paraId="04AE471D" w14:textId="273C6FAB" w:rsidR="00634F7F" w:rsidRPr="00381D97" w:rsidRDefault="00634F7F" w:rsidP="00634F7F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Wymiary</w:t>
            </w:r>
            <w:r w:rsidRPr="00381D97">
              <w:rPr>
                <w:rFonts w:eastAsia="Times New Roman" w:cs="Times New Roman"/>
                <w:b/>
                <w:szCs w:val="24"/>
                <w:lang w:eastAsia="pl-PL"/>
              </w:rPr>
              <w:t xml:space="preserve"> mak</w:t>
            </w:r>
            <w:r w:rsidR="00582BEC">
              <w:rPr>
                <w:rFonts w:eastAsia="Times New Roman" w:cs="Times New Roman"/>
                <w:b/>
                <w:szCs w:val="24"/>
                <w:lang w:eastAsia="pl-PL"/>
              </w:rPr>
              <w:t>s</w:t>
            </w:r>
            <w:r w:rsidRPr="00381D97">
              <w:rPr>
                <w:rFonts w:eastAsia="Times New Roman" w:cs="Times New Roman"/>
                <w:b/>
                <w:szCs w:val="24"/>
                <w:lang w:eastAsia="pl-PL"/>
              </w:rPr>
              <w:t>.</w:t>
            </w: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 xml:space="preserve"> (szer. x gł. x wys.)</w:t>
            </w:r>
          </w:p>
        </w:tc>
        <w:tc>
          <w:tcPr>
            <w:tcW w:w="0" w:type="auto"/>
          </w:tcPr>
          <w:p w14:paraId="2CEAE087" w14:textId="01F20715" w:rsidR="00634F7F" w:rsidRPr="00634F7F" w:rsidRDefault="00634F7F" w:rsidP="00634F7F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>300 mm x 170 mm x 163 mm</w:t>
            </w:r>
          </w:p>
        </w:tc>
      </w:tr>
      <w:tr w:rsidR="00381D97" w:rsidRPr="00634F7F" w14:paraId="04136A99" w14:textId="77777777" w:rsidTr="00381D97">
        <w:trPr>
          <w:trHeight w:val="331"/>
          <w:tblCellSpacing w:w="7" w:type="dxa"/>
        </w:trPr>
        <w:tc>
          <w:tcPr>
            <w:tcW w:w="2250" w:type="dxa"/>
          </w:tcPr>
          <w:p w14:paraId="515A5D62" w14:textId="1DEE574B" w:rsidR="00381D97" w:rsidRPr="00381D97" w:rsidRDefault="00381D97" w:rsidP="00381D97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381D97">
              <w:rPr>
                <w:rFonts w:eastAsia="Times New Roman" w:cs="Times New Roman"/>
                <w:b/>
                <w:szCs w:val="24"/>
                <w:lang w:eastAsia="pl-PL"/>
              </w:rPr>
              <w:t xml:space="preserve">Wyposażenie </w:t>
            </w:r>
          </w:p>
        </w:tc>
        <w:tc>
          <w:tcPr>
            <w:tcW w:w="0" w:type="auto"/>
          </w:tcPr>
          <w:p w14:paraId="12BD5285" w14:textId="5B9798AF" w:rsidR="00381D97" w:rsidRPr="00634F7F" w:rsidRDefault="00381D97" w:rsidP="00381D97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 xml:space="preserve">Taca podajnika ADF, przewód AC, zasilacz AC, przewód USB, </w:t>
            </w:r>
          </w:p>
        </w:tc>
      </w:tr>
      <w:tr w:rsidR="00381D97" w:rsidRPr="00634F7F" w14:paraId="1CDF3B77" w14:textId="77777777" w:rsidTr="00381D97">
        <w:trPr>
          <w:trHeight w:val="331"/>
          <w:tblCellSpacing w:w="7" w:type="dxa"/>
        </w:trPr>
        <w:tc>
          <w:tcPr>
            <w:tcW w:w="2250" w:type="dxa"/>
          </w:tcPr>
          <w:p w14:paraId="0B313DFB" w14:textId="4B3B7844" w:rsidR="00381D97" w:rsidRPr="00381D97" w:rsidRDefault="00381D97" w:rsidP="00381D97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Obsługa systemów operacyjnych</w:t>
            </w:r>
          </w:p>
        </w:tc>
        <w:tc>
          <w:tcPr>
            <w:tcW w:w="0" w:type="auto"/>
          </w:tcPr>
          <w:p w14:paraId="7B23862C" w14:textId="4381B0DB" w:rsidR="00381D97" w:rsidRPr="00634F7F" w:rsidRDefault="00381D97" w:rsidP="00381D97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Windows 10, Windows 11</w:t>
            </w:r>
          </w:p>
        </w:tc>
      </w:tr>
      <w:tr w:rsidR="00381D97" w:rsidRPr="00634F7F" w14:paraId="41ABF47A" w14:textId="77777777" w:rsidTr="00381D97">
        <w:trPr>
          <w:trHeight w:val="331"/>
          <w:tblCellSpacing w:w="7" w:type="dxa"/>
        </w:trPr>
        <w:tc>
          <w:tcPr>
            <w:tcW w:w="2250" w:type="dxa"/>
          </w:tcPr>
          <w:p w14:paraId="6791F4D5" w14:textId="7A291955" w:rsidR="00381D97" w:rsidRPr="00381D97" w:rsidRDefault="00381D97" w:rsidP="00381D97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b/>
                <w:szCs w:val="24"/>
                <w:lang w:eastAsia="pl-PL"/>
              </w:rPr>
              <w:t>Detekcja podwójnych pobrań</w:t>
            </w:r>
          </w:p>
        </w:tc>
        <w:tc>
          <w:tcPr>
            <w:tcW w:w="0" w:type="auto"/>
          </w:tcPr>
          <w:p w14:paraId="656A7F8B" w14:textId="15BDC2F3" w:rsidR="00381D97" w:rsidRDefault="00381D97" w:rsidP="00381D97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634F7F">
              <w:rPr>
                <w:rFonts w:eastAsia="Times New Roman" w:cs="Times New Roman"/>
                <w:szCs w:val="24"/>
                <w:lang w:eastAsia="pl-PL"/>
              </w:rPr>
              <w:t>Nakładanie arkuszy (czujnik ultradźwiękowy), detekcja długości</w:t>
            </w:r>
          </w:p>
        </w:tc>
      </w:tr>
    </w:tbl>
    <w:p w14:paraId="16DFD42D" w14:textId="77777777" w:rsidR="00634F7F" w:rsidRPr="00634F7F" w:rsidRDefault="00634F7F">
      <w:pPr>
        <w:rPr>
          <w:b/>
        </w:rPr>
      </w:pPr>
    </w:p>
    <w:sectPr w:rsidR="00634F7F" w:rsidRPr="00634F7F" w:rsidSect="00381D9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F"/>
    <w:rsid w:val="0005450A"/>
    <w:rsid w:val="00381D97"/>
    <w:rsid w:val="00582BEC"/>
    <w:rsid w:val="00634F7F"/>
    <w:rsid w:val="006901FE"/>
    <w:rsid w:val="00E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596B"/>
  <w15:chartTrackingRefBased/>
  <w15:docId w15:val="{DA2911AB-A048-4EF2-B04E-14748FA2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4F7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34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Grzenia Piotr</dc:creator>
  <cp:keywords/>
  <dc:description/>
  <cp:lastModifiedBy>Grzenia Piotr</cp:lastModifiedBy>
  <cp:revision>5</cp:revision>
  <dcterms:created xsi:type="dcterms:W3CDTF">2025-02-07T13:00:00Z</dcterms:created>
  <dcterms:modified xsi:type="dcterms:W3CDTF">2025-06-04T09:32:00Z</dcterms:modified>
</cp:coreProperties>
</file>