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95265" w14:textId="77777777" w:rsidR="00CF161D" w:rsidRPr="00CF161D" w:rsidRDefault="00CF161D" w:rsidP="00CF161D">
      <w:r w:rsidRPr="00CF161D">
        <w:rPr>
          <w:b/>
          <w:bCs/>
        </w:rPr>
        <w:t xml:space="preserve">Przełącznik 48 porty </w:t>
      </w:r>
      <w:proofErr w:type="spellStart"/>
      <w:r w:rsidRPr="00CF161D">
        <w:rPr>
          <w:b/>
          <w:bCs/>
        </w:rPr>
        <w:t>PoE</w:t>
      </w:r>
      <w:proofErr w:type="spellEnd"/>
      <w:r w:rsidRPr="00CF161D">
        <w:rPr>
          <w:b/>
          <w:bCs/>
        </w:rPr>
        <w:t>:</w:t>
      </w:r>
    </w:p>
    <w:p w14:paraId="320AC39C" w14:textId="77777777" w:rsidR="00CF161D" w:rsidRPr="00CF161D" w:rsidRDefault="00CF161D" w:rsidP="00CF16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2"/>
        <w:gridCol w:w="8124"/>
      </w:tblGrid>
      <w:tr w:rsidR="00CF161D" w:rsidRPr="00CF161D" w14:paraId="0F9AB3EC" w14:textId="77777777" w:rsidTr="001D5146">
        <w:tc>
          <w:tcPr>
            <w:tcW w:w="5000" w:type="pct"/>
            <w:gridSpan w:val="2"/>
            <w:shd w:val="clear" w:color="auto" w:fill="FFFFFF"/>
            <w:tcMar>
              <w:top w:w="105" w:type="dxa"/>
              <w:left w:w="255" w:type="dxa"/>
              <w:bottom w:w="105" w:type="dxa"/>
              <w:right w:w="255" w:type="dxa"/>
            </w:tcMar>
            <w:hideMark/>
          </w:tcPr>
          <w:p w14:paraId="61FF061F" w14:textId="77777777" w:rsidR="00CF161D" w:rsidRPr="00CF161D" w:rsidRDefault="00CF161D" w:rsidP="00CF161D">
            <w:pPr>
              <w:rPr>
                <w:b/>
                <w:bCs/>
                <w:u w:val="single"/>
              </w:rPr>
            </w:pPr>
            <w:r w:rsidRPr="00CF161D">
              <w:rPr>
                <w:b/>
                <w:bCs/>
                <w:u w:val="single"/>
              </w:rPr>
              <w:t>Ogólne</w:t>
            </w:r>
          </w:p>
        </w:tc>
      </w:tr>
      <w:tr w:rsidR="00CF161D" w:rsidRPr="00CF161D" w14:paraId="0BFD6F90" w14:textId="77777777" w:rsidTr="001D5146">
        <w:tc>
          <w:tcPr>
            <w:tcW w:w="1115" w:type="pct"/>
            <w:shd w:val="clear" w:color="auto" w:fill="FFFFFF"/>
            <w:tcMar>
              <w:top w:w="105" w:type="dxa"/>
              <w:left w:w="255" w:type="dxa"/>
              <w:bottom w:w="105" w:type="dxa"/>
              <w:right w:w="255" w:type="dxa"/>
            </w:tcMar>
            <w:hideMark/>
          </w:tcPr>
          <w:p w14:paraId="3CF52459" w14:textId="77777777" w:rsidR="00CF161D" w:rsidRPr="00CF161D" w:rsidRDefault="00CF161D" w:rsidP="00CF161D">
            <w:pPr>
              <w:rPr>
                <w:b/>
                <w:bCs/>
              </w:rPr>
            </w:pPr>
            <w:r w:rsidRPr="00CF161D">
              <w:rPr>
                <w:b/>
                <w:bCs/>
              </w:rPr>
              <w:t>Rodzaj urządzenia:</w:t>
            </w:r>
          </w:p>
        </w:tc>
        <w:tc>
          <w:tcPr>
            <w:tcW w:w="3885" w:type="pct"/>
            <w:shd w:val="clear" w:color="auto" w:fill="FFFFFF"/>
            <w:tcMar>
              <w:top w:w="105" w:type="dxa"/>
              <w:left w:w="255" w:type="dxa"/>
              <w:bottom w:w="105" w:type="dxa"/>
              <w:right w:w="255" w:type="dxa"/>
            </w:tcMar>
            <w:hideMark/>
          </w:tcPr>
          <w:p w14:paraId="23804C57" w14:textId="77777777" w:rsidR="00CF161D" w:rsidRPr="00CF161D" w:rsidRDefault="00CF161D" w:rsidP="00CF161D">
            <w:r w:rsidRPr="00CF161D">
              <w:t>Przełącznik - 48 porty - L3 - wieżowy</w:t>
            </w:r>
          </w:p>
        </w:tc>
      </w:tr>
      <w:tr w:rsidR="00CF161D" w:rsidRPr="00CF161D" w14:paraId="45755DD7" w14:textId="77777777" w:rsidTr="001D5146">
        <w:tc>
          <w:tcPr>
            <w:tcW w:w="1115" w:type="pct"/>
            <w:shd w:val="clear" w:color="auto" w:fill="FFFFFF"/>
            <w:tcMar>
              <w:top w:w="105" w:type="dxa"/>
              <w:left w:w="255" w:type="dxa"/>
              <w:bottom w:w="105" w:type="dxa"/>
              <w:right w:w="255" w:type="dxa"/>
            </w:tcMar>
            <w:hideMark/>
          </w:tcPr>
          <w:p w14:paraId="14ADA582" w14:textId="77777777" w:rsidR="00CF161D" w:rsidRPr="00CF161D" w:rsidRDefault="00CF161D" w:rsidP="00CF161D">
            <w:pPr>
              <w:rPr>
                <w:b/>
                <w:bCs/>
              </w:rPr>
            </w:pPr>
            <w:r w:rsidRPr="00CF161D">
              <w:rPr>
                <w:b/>
                <w:bCs/>
              </w:rPr>
              <w:t>Rodzaj obudowy:</w:t>
            </w:r>
          </w:p>
        </w:tc>
        <w:tc>
          <w:tcPr>
            <w:tcW w:w="3885" w:type="pct"/>
            <w:shd w:val="clear" w:color="auto" w:fill="FFFFFF"/>
            <w:tcMar>
              <w:top w:w="105" w:type="dxa"/>
              <w:left w:w="255" w:type="dxa"/>
              <w:bottom w:w="105" w:type="dxa"/>
              <w:right w:w="255" w:type="dxa"/>
            </w:tcMar>
            <w:hideMark/>
          </w:tcPr>
          <w:p w14:paraId="64B3168F" w14:textId="77777777" w:rsidR="00CF161D" w:rsidRPr="00CF161D" w:rsidRDefault="00CF161D" w:rsidP="00CF161D">
            <w:r w:rsidRPr="00CF161D">
              <w:t xml:space="preserve">Montowany w szafie </w:t>
            </w:r>
            <w:proofErr w:type="spellStart"/>
            <w:r w:rsidRPr="00CF161D">
              <w:t>rack</w:t>
            </w:r>
            <w:proofErr w:type="spellEnd"/>
          </w:p>
        </w:tc>
      </w:tr>
      <w:tr w:rsidR="00CF161D" w:rsidRPr="00CF161D" w14:paraId="702BF9A1" w14:textId="77777777" w:rsidTr="001D5146">
        <w:tc>
          <w:tcPr>
            <w:tcW w:w="1115" w:type="pct"/>
            <w:shd w:val="clear" w:color="auto" w:fill="FFFFFF"/>
            <w:tcMar>
              <w:top w:w="105" w:type="dxa"/>
              <w:left w:w="255" w:type="dxa"/>
              <w:bottom w:w="105" w:type="dxa"/>
              <w:right w:w="255" w:type="dxa"/>
            </w:tcMar>
            <w:hideMark/>
          </w:tcPr>
          <w:p w14:paraId="429DDE8B" w14:textId="77777777" w:rsidR="00CF161D" w:rsidRPr="00CF161D" w:rsidRDefault="00CF161D" w:rsidP="00CF161D">
            <w:pPr>
              <w:rPr>
                <w:b/>
                <w:bCs/>
              </w:rPr>
            </w:pPr>
            <w:r w:rsidRPr="00CF161D">
              <w:rPr>
                <w:b/>
                <w:bCs/>
              </w:rPr>
              <w:t>Podtyp:</w:t>
            </w:r>
          </w:p>
        </w:tc>
        <w:tc>
          <w:tcPr>
            <w:tcW w:w="3885" w:type="pct"/>
            <w:shd w:val="clear" w:color="auto" w:fill="FFFFFF"/>
            <w:tcMar>
              <w:top w:w="105" w:type="dxa"/>
              <w:left w:w="255" w:type="dxa"/>
              <w:bottom w:w="105" w:type="dxa"/>
              <w:right w:w="255" w:type="dxa"/>
            </w:tcMar>
            <w:hideMark/>
          </w:tcPr>
          <w:p w14:paraId="3D6F4161" w14:textId="77777777" w:rsidR="00CF161D" w:rsidRPr="00CF161D" w:rsidRDefault="00CF161D" w:rsidP="00CF161D">
            <w:r w:rsidRPr="00CF161D">
              <w:t>Gigabit Ethernet</w:t>
            </w:r>
          </w:p>
        </w:tc>
      </w:tr>
      <w:tr w:rsidR="00CF161D" w:rsidRPr="00CF161D" w14:paraId="4BF1EA8D" w14:textId="77777777" w:rsidTr="001D5146">
        <w:tc>
          <w:tcPr>
            <w:tcW w:w="1115" w:type="pct"/>
            <w:shd w:val="clear" w:color="auto" w:fill="FFFFFF"/>
            <w:tcMar>
              <w:top w:w="105" w:type="dxa"/>
              <w:left w:w="255" w:type="dxa"/>
              <w:bottom w:w="105" w:type="dxa"/>
              <w:right w:w="255" w:type="dxa"/>
            </w:tcMar>
            <w:hideMark/>
          </w:tcPr>
          <w:p w14:paraId="62149C0F" w14:textId="77777777" w:rsidR="00CF161D" w:rsidRPr="00CF161D" w:rsidRDefault="00CF161D" w:rsidP="00CF161D">
            <w:pPr>
              <w:rPr>
                <w:b/>
                <w:bCs/>
              </w:rPr>
            </w:pPr>
            <w:r w:rsidRPr="00CF161D">
              <w:rPr>
                <w:b/>
                <w:bCs/>
              </w:rPr>
              <w:t>Porty:</w:t>
            </w:r>
          </w:p>
        </w:tc>
        <w:tc>
          <w:tcPr>
            <w:tcW w:w="3885" w:type="pct"/>
            <w:shd w:val="clear" w:color="auto" w:fill="FFFFFF"/>
            <w:tcMar>
              <w:top w:w="105" w:type="dxa"/>
              <w:left w:w="255" w:type="dxa"/>
              <w:bottom w:w="105" w:type="dxa"/>
              <w:right w:w="255" w:type="dxa"/>
            </w:tcMar>
            <w:hideMark/>
          </w:tcPr>
          <w:p w14:paraId="4BB3CDFB" w14:textId="77777777" w:rsidR="00CF161D" w:rsidRPr="00CF161D" w:rsidRDefault="00CF161D" w:rsidP="00CF161D">
            <w:r w:rsidRPr="00CF161D">
              <w:t>48 x 10/100/1000 (</w:t>
            </w:r>
            <w:proofErr w:type="spellStart"/>
            <w:r w:rsidRPr="00CF161D">
              <w:t>PoE</w:t>
            </w:r>
            <w:proofErr w:type="spellEnd"/>
            <w:r w:rsidRPr="00CF161D">
              <w:t>+) + 4 x 10 Gigabit SFP+</w:t>
            </w:r>
          </w:p>
        </w:tc>
      </w:tr>
      <w:tr w:rsidR="00CF161D" w:rsidRPr="00CF161D" w14:paraId="019ABCEB" w14:textId="77777777" w:rsidTr="001D5146">
        <w:tc>
          <w:tcPr>
            <w:tcW w:w="1115" w:type="pct"/>
            <w:shd w:val="clear" w:color="auto" w:fill="FFFFFF"/>
            <w:tcMar>
              <w:top w:w="105" w:type="dxa"/>
              <w:left w:w="255" w:type="dxa"/>
              <w:bottom w:w="105" w:type="dxa"/>
              <w:right w:w="255" w:type="dxa"/>
            </w:tcMar>
            <w:hideMark/>
          </w:tcPr>
          <w:p w14:paraId="1AC0114B" w14:textId="77777777" w:rsidR="00CF161D" w:rsidRPr="00CF161D" w:rsidRDefault="00CF161D" w:rsidP="00CF161D">
            <w:pPr>
              <w:rPr>
                <w:b/>
                <w:bCs/>
              </w:rPr>
            </w:pPr>
            <w:r w:rsidRPr="00CF161D">
              <w:rPr>
                <w:b/>
                <w:bCs/>
              </w:rPr>
              <w:t>Zasilanie przez Ethernet:</w:t>
            </w:r>
          </w:p>
        </w:tc>
        <w:tc>
          <w:tcPr>
            <w:tcW w:w="3885" w:type="pct"/>
            <w:shd w:val="clear" w:color="auto" w:fill="FFFFFF"/>
            <w:tcMar>
              <w:top w:w="105" w:type="dxa"/>
              <w:left w:w="255" w:type="dxa"/>
              <w:bottom w:w="105" w:type="dxa"/>
              <w:right w:w="255" w:type="dxa"/>
            </w:tcMar>
            <w:hideMark/>
          </w:tcPr>
          <w:p w14:paraId="55643D91" w14:textId="77777777" w:rsidR="00CF161D" w:rsidRPr="00CF161D" w:rsidRDefault="00CF161D" w:rsidP="00CF161D">
            <w:proofErr w:type="spellStart"/>
            <w:r w:rsidRPr="00CF161D">
              <w:t>PoE</w:t>
            </w:r>
            <w:proofErr w:type="spellEnd"/>
            <w:r w:rsidRPr="00CF161D">
              <w:t>+</w:t>
            </w:r>
          </w:p>
        </w:tc>
      </w:tr>
      <w:tr w:rsidR="00CF161D" w:rsidRPr="00CF161D" w14:paraId="0BAB9910" w14:textId="77777777" w:rsidTr="001D5146">
        <w:tc>
          <w:tcPr>
            <w:tcW w:w="1115" w:type="pct"/>
            <w:shd w:val="clear" w:color="auto" w:fill="FFFFFF"/>
            <w:tcMar>
              <w:top w:w="105" w:type="dxa"/>
              <w:left w:w="255" w:type="dxa"/>
              <w:bottom w:w="105" w:type="dxa"/>
              <w:right w:w="255" w:type="dxa"/>
            </w:tcMar>
            <w:hideMark/>
          </w:tcPr>
          <w:p w14:paraId="284E43A9" w14:textId="77777777" w:rsidR="00CF161D" w:rsidRPr="00CF161D" w:rsidRDefault="00CF161D" w:rsidP="00CF161D">
            <w:pPr>
              <w:rPr>
                <w:b/>
                <w:bCs/>
              </w:rPr>
            </w:pPr>
            <w:r w:rsidRPr="00CF161D">
              <w:rPr>
                <w:b/>
                <w:bCs/>
              </w:rPr>
              <w:t>Wykonanie:</w:t>
            </w:r>
          </w:p>
        </w:tc>
        <w:tc>
          <w:tcPr>
            <w:tcW w:w="3885" w:type="pct"/>
            <w:shd w:val="clear" w:color="auto" w:fill="FFFFFF"/>
            <w:tcMar>
              <w:top w:w="105" w:type="dxa"/>
              <w:left w:w="255" w:type="dxa"/>
              <w:bottom w:w="105" w:type="dxa"/>
              <w:right w:w="255" w:type="dxa"/>
            </w:tcMar>
            <w:hideMark/>
          </w:tcPr>
          <w:p w14:paraId="5D867E64" w14:textId="77777777" w:rsidR="00CF161D" w:rsidRPr="00CF161D" w:rsidRDefault="00CF161D" w:rsidP="00CF161D">
            <w:r w:rsidRPr="00CF161D">
              <w:t xml:space="preserve">Obsługa przepustowości stosowej: 80 </w:t>
            </w:r>
            <w:proofErr w:type="spellStart"/>
            <w:r w:rsidRPr="00CF161D">
              <w:t>Gbps</w:t>
            </w:r>
            <w:proofErr w:type="spellEnd"/>
            <w:r w:rsidRPr="00CF161D">
              <w:br/>
              <w:t xml:space="preserve">Zdolność przełączania: 176 </w:t>
            </w:r>
            <w:proofErr w:type="spellStart"/>
            <w:r w:rsidRPr="00CF161D">
              <w:t>Gbps</w:t>
            </w:r>
            <w:proofErr w:type="spellEnd"/>
            <w:r w:rsidRPr="00CF161D">
              <w:br/>
              <w:t xml:space="preserve">Szybkość przekierowywania: 130.95 </w:t>
            </w:r>
            <w:proofErr w:type="spellStart"/>
            <w:r w:rsidRPr="00CF161D">
              <w:t>Mpps</w:t>
            </w:r>
            <w:proofErr w:type="spellEnd"/>
          </w:p>
        </w:tc>
      </w:tr>
      <w:tr w:rsidR="00CF161D" w:rsidRPr="00CF161D" w14:paraId="5DF7AB14" w14:textId="77777777" w:rsidTr="001D5146">
        <w:tc>
          <w:tcPr>
            <w:tcW w:w="1115" w:type="pct"/>
            <w:shd w:val="clear" w:color="auto" w:fill="FFFFFF"/>
            <w:tcMar>
              <w:top w:w="105" w:type="dxa"/>
              <w:left w:w="255" w:type="dxa"/>
              <w:bottom w:w="105" w:type="dxa"/>
              <w:right w:w="255" w:type="dxa"/>
            </w:tcMar>
            <w:hideMark/>
          </w:tcPr>
          <w:p w14:paraId="511BA49F" w14:textId="77777777" w:rsidR="00CF161D" w:rsidRPr="00CF161D" w:rsidRDefault="00CF161D" w:rsidP="00CF161D">
            <w:pPr>
              <w:rPr>
                <w:b/>
                <w:bCs/>
              </w:rPr>
            </w:pPr>
            <w:r w:rsidRPr="00CF161D">
              <w:rPr>
                <w:b/>
                <w:bCs/>
              </w:rPr>
              <w:t>Pojemność:</w:t>
            </w:r>
          </w:p>
        </w:tc>
        <w:tc>
          <w:tcPr>
            <w:tcW w:w="3885" w:type="pct"/>
            <w:shd w:val="clear" w:color="auto" w:fill="FFFFFF"/>
            <w:tcMar>
              <w:top w:w="105" w:type="dxa"/>
              <w:left w:w="255" w:type="dxa"/>
              <w:bottom w:w="105" w:type="dxa"/>
              <w:right w:w="255" w:type="dxa"/>
            </w:tcMar>
            <w:hideMark/>
          </w:tcPr>
          <w:p w14:paraId="2C874F3D" w14:textId="77777777" w:rsidR="00CF161D" w:rsidRPr="00CF161D" w:rsidRDefault="00CF161D" w:rsidP="00CF161D">
            <w:r w:rsidRPr="00CF161D">
              <w:t>Sieci wirtualne: 1</w:t>
            </w:r>
            <w:r w:rsidRPr="00CF161D">
              <w:br/>
              <w:t>Adresy MAC: 16000</w:t>
            </w:r>
            <w:r w:rsidRPr="00CF161D">
              <w:br/>
              <w:t>Trasy IPv4: 11000</w:t>
            </w:r>
            <w:r w:rsidRPr="00CF161D">
              <w:br/>
              <w:t>Wpisy w tabeli routingu IPv4: 3000</w:t>
            </w:r>
            <w:r w:rsidRPr="00CF161D">
              <w:br/>
              <w:t>Wpisy w tabeli routingu IPv6: 1500</w:t>
            </w:r>
            <w:r w:rsidRPr="00CF161D">
              <w:br/>
              <w:t xml:space="preserve">Skala </w:t>
            </w:r>
            <w:proofErr w:type="spellStart"/>
            <w:r w:rsidRPr="00CF161D">
              <w:t>multicast</w:t>
            </w:r>
            <w:proofErr w:type="spellEnd"/>
            <w:r w:rsidRPr="00CF161D">
              <w:t>: 1000</w:t>
            </w:r>
            <w:r w:rsidRPr="00CF161D">
              <w:br/>
              <w:t>Wpisy skali ACL: 1500</w:t>
            </w:r>
            <w:r w:rsidRPr="00CF161D">
              <w:br/>
              <w:t>Wpisy FNF: 16000</w:t>
            </w:r>
            <w:r w:rsidRPr="00CF161D">
              <w:br/>
              <w:t>Wirtualny interfejs: 512</w:t>
            </w:r>
            <w:r w:rsidRPr="00CF161D">
              <w:br/>
              <w:t>Liczba kolejek na port (wyjście): 8</w:t>
            </w:r>
          </w:p>
        </w:tc>
      </w:tr>
      <w:tr w:rsidR="00CF161D" w:rsidRPr="00CF161D" w14:paraId="0CBEF096" w14:textId="77777777" w:rsidTr="001D5146">
        <w:tc>
          <w:tcPr>
            <w:tcW w:w="1115" w:type="pct"/>
            <w:shd w:val="clear" w:color="auto" w:fill="FFFFFF"/>
            <w:tcMar>
              <w:top w:w="105" w:type="dxa"/>
              <w:left w:w="255" w:type="dxa"/>
              <w:bottom w:w="105" w:type="dxa"/>
              <w:right w:w="255" w:type="dxa"/>
            </w:tcMar>
            <w:hideMark/>
          </w:tcPr>
          <w:p w14:paraId="016B08E5" w14:textId="77777777" w:rsidR="00CF161D" w:rsidRPr="00CF161D" w:rsidRDefault="00CF161D" w:rsidP="00CF161D">
            <w:pPr>
              <w:rPr>
                <w:b/>
                <w:bCs/>
              </w:rPr>
            </w:pPr>
            <w:r w:rsidRPr="00CF161D">
              <w:rPr>
                <w:b/>
                <w:bCs/>
              </w:rPr>
              <w:t>Obsługiwane ramki Jumbo:</w:t>
            </w:r>
          </w:p>
        </w:tc>
        <w:tc>
          <w:tcPr>
            <w:tcW w:w="3885" w:type="pct"/>
            <w:shd w:val="clear" w:color="auto" w:fill="FFFFFF"/>
            <w:tcMar>
              <w:top w:w="105" w:type="dxa"/>
              <w:left w:w="255" w:type="dxa"/>
              <w:bottom w:w="105" w:type="dxa"/>
              <w:right w:w="255" w:type="dxa"/>
            </w:tcMar>
            <w:hideMark/>
          </w:tcPr>
          <w:p w14:paraId="0240D884" w14:textId="77777777" w:rsidR="00CF161D" w:rsidRPr="00CF161D" w:rsidRDefault="00CF161D" w:rsidP="00CF161D">
            <w:r w:rsidRPr="00CF161D">
              <w:t>9198 bajtów</w:t>
            </w:r>
          </w:p>
        </w:tc>
      </w:tr>
      <w:tr w:rsidR="00CF161D" w:rsidRPr="00CF161D" w14:paraId="2E3266F0" w14:textId="77777777" w:rsidTr="001D5146">
        <w:tc>
          <w:tcPr>
            <w:tcW w:w="1115" w:type="pct"/>
            <w:shd w:val="clear" w:color="auto" w:fill="FFFFFF"/>
            <w:tcMar>
              <w:top w:w="105" w:type="dxa"/>
              <w:left w:w="255" w:type="dxa"/>
              <w:bottom w:w="105" w:type="dxa"/>
              <w:right w:w="255" w:type="dxa"/>
            </w:tcMar>
            <w:hideMark/>
          </w:tcPr>
          <w:p w14:paraId="1420650D" w14:textId="77777777" w:rsidR="00CF161D" w:rsidRPr="00CF161D" w:rsidRDefault="00CF161D" w:rsidP="00CF161D">
            <w:pPr>
              <w:rPr>
                <w:b/>
                <w:bCs/>
              </w:rPr>
            </w:pPr>
            <w:r w:rsidRPr="00CF161D">
              <w:rPr>
                <w:b/>
                <w:bCs/>
              </w:rPr>
              <w:t>Protokół routingu:</w:t>
            </w:r>
          </w:p>
        </w:tc>
        <w:tc>
          <w:tcPr>
            <w:tcW w:w="3885" w:type="pct"/>
            <w:shd w:val="clear" w:color="auto" w:fill="FFFFFF"/>
            <w:tcMar>
              <w:top w:w="105" w:type="dxa"/>
              <w:left w:w="255" w:type="dxa"/>
              <w:bottom w:w="105" w:type="dxa"/>
              <w:right w:w="255" w:type="dxa"/>
            </w:tcMar>
            <w:hideMark/>
          </w:tcPr>
          <w:p w14:paraId="39D1518D" w14:textId="77777777" w:rsidR="00CF161D" w:rsidRPr="00CF161D" w:rsidRDefault="00CF161D" w:rsidP="00CF161D">
            <w:r w:rsidRPr="00CF161D">
              <w:t>OSPF, RIP, VRRP, policy-</w:t>
            </w:r>
            <w:proofErr w:type="spellStart"/>
            <w:r w:rsidRPr="00CF161D">
              <w:t>based</w:t>
            </w:r>
            <w:proofErr w:type="spellEnd"/>
            <w:r w:rsidRPr="00CF161D">
              <w:t xml:space="preserve"> routing (PBR), MSTP</w:t>
            </w:r>
          </w:p>
        </w:tc>
      </w:tr>
      <w:tr w:rsidR="00CF161D" w:rsidRPr="00CF161D" w14:paraId="722D10DE" w14:textId="77777777" w:rsidTr="001D5146">
        <w:tc>
          <w:tcPr>
            <w:tcW w:w="1115" w:type="pct"/>
            <w:shd w:val="clear" w:color="auto" w:fill="FFFFFF"/>
            <w:tcMar>
              <w:top w:w="105" w:type="dxa"/>
              <w:left w:w="255" w:type="dxa"/>
              <w:bottom w:w="105" w:type="dxa"/>
              <w:right w:w="255" w:type="dxa"/>
            </w:tcMar>
            <w:hideMark/>
          </w:tcPr>
          <w:p w14:paraId="5EA3E16C" w14:textId="77777777" w:rsidR="00CF161D" w:rsidRPr="00CF161D" w:rsidRDefault="00CF161D" w:rsidP="00CF161D">
            <w:pPr>
              <w:rPr>
                <w:b/>
                <w:bCs/>
              </w:rPr>
            </w:pPr>
            <w:r w:rsidRPr="00CF161D">
              <w:rPr>
                <w:b/>
                <w:bCs/>
              </w:rPr>
              <w:t>Protokół zdalnego zarządzania:</w:t>
            </w:r>
          </w:p>
        </w:tc>
        <w:tc>
          <w:tcPr>
            <w:tcW w:w="3885" w:type="pct"/>
            <w:shd w:val="clear" w:color="auto" w:fill="FFFFFF"/>
            <w:tcMar>
              <w:top w:w="105" w:type="dxa"/>
              <w:left w:w="255" w:type="dxa"/>
              <w:bottom w:w="105" w:type="dxa"/>
              <w:right w:w="255" w:type="dxa"/>
            </w:tcMar>
            <w:hideMark/>
          </w:tcPr>
          <w:p w14:paraId="500BDD13" w14:textId="77777777" w:rsidR="00CF161D" w:rsidRPr="00CF161D" w:rsidRDefault="00CF161D" w:rsidP="00CF161D">
            <w:r w:rsidRPr="00CF161D">
              <w:t>SNMP 1, RMON 1, RMON 2, SNMP 3, SNMP 2c, NETCONF, RESTCONF</w:t>
            </w:r>
          </w:p>
        </w:tc>
      </w:tr>
      <w:tr w:rsidR="00CF161D" w:rsidRPr="00CF161D" w14:paraId="3D64EF7E" w14:textId="77777777" w:rsidTr="001D5146">
        <w:tc>
          <w:tcPr>
            <w:tcW w:w="1115" w:type="pct"/>
            <w:shd w:val="clear" w:color="auto" w:fill="FFFFFF"/>
            <w:tcMar>
              <w:top w:w="105" w:type="dxa"/>
              <w:left w:w="255" w:type="dxa"/>
              <w:bottom w:w="105" w:type="dxa"/>
              <w:right w:w="255" w:type="dxa"/>
            </w:tcMar>
            <w:hideMark/>
          </w:tcPr>
          <w:p w14:paraId="45ED153A" w14:textId="77777777" w:rsidR="00CF161D" w:rsidRPr="00CF161D" w:rsidRDefault="00CF161D" w:rsidP="00CF161D">
            <w:pPr>
              <w:rPr>
                <w:b/>
                <w:bCs/>
              </w:rPr>
            </w:pPr>
            <w:r w:rsidRPr="00CF161D">
              <w:rPr>
                <w:b/>
                <w:bCs/>
              </w:rPr>
              <w:t>Cechy:</w:t>
            </w:r>
          </w:p>
        </w:tc>
        <w:tc>
          <w:tcPr>
            <w:tcW w:w="3885" w:type="pct"/>
            <w:shd w:val="clear" w:color="auto" w:fill="FFFFFF"/>
            <w:tcMar>
              <w:top w:w="105" w:type="dxa"/>
              <w:left w:w="255" w:type="dxa"/>
              <w:bottom w:w="105" w:type="dxa"/>
              <w:right w:w="255" w:type="dxa"/>
            </w:tcMar>
            <w:hideMark/>
          </w:tcPr>
          <w:p w14:paraId="33542039" w14:textId="77777777" w:rsidR="00CF161D" w:rsidRPr="00CF161D" w:rsidRDefault="00CF161D" w:rsidP="00CF161D">
            <w:r w:rsidRPr="00CF161D">
              <w:t xml:space="preserve">EIGRP </w:t>
            </w:r>
            <w:proofErr w:type="spellStart"/>
            <w:r w:rsidRPr="00CF161D">
              <w:t>Stub</w:t>
            </w:r>
            <w:proofErr w:type="spellEnd"/>
            <w:r w:rsidRPr="00CF161D">
              <w:t xml:space="preserve"> Routing, </w:t>
            </w:r>
            <w:proofErr w:type="spellStart"/>
            <w:r w:rsidRPr="00CF161D">
              <w:t>Rapid</w:t>
            </w:r>
            <w:proofErr w:type="spellEnd"/>
            <w:r w:rsidRPr="00CF161D">
              <w:t xml:space="preserve"> Per-VLAN </w:t>
            </w:r>
            <w:proofErr w:type="spellStart"/>
            <w:r w:rsidRPr="00CF161D">
              <w:t>Spanning</w:t>
            </w:r>
            <w:proofErr w:type="spellEnd"/>
            <w:r w:rsidRPr="00CF161D">
              <w:t xml:space="preserve"> </w:t>
            </w:r>
            <w:proofErr w:type="spellStart"/>
            <w:r w:rsidRPr="00CF161D">
              <w:t>Tree</w:t>
            </w:r>
            <w:proofErr w:type="spellEnd"/>
            <w:r w:rsidRPr="00CF161D">
              <w:t xml:space="preserve"> Plus (PVRST+), </w:t>
            </w:r>
            <w:proofErr w:type="spellStart"/>
            <w:r w:rsidRPr="00CF161D">
              <w:t>Shaped</w:t>
            </w:r>
            <w:proofErr w:type="spellEnd"/>
            <w:r w:rsidRPr="00CF161D">
              <w:t xml:space="preserve"> </w:t>
            </w:r>
            <w:proofErr w:type="spellStart"/>
            <w:r w:rsidRPr="00CF161D">
              <w:t>Round</w:t>
            </w:r>
            <w:proofErr w:type="spellEnd"/>
            <w:r w:rsidRPr="00CF161D">
              <w:t xml:space="preserve"> Robin (SRR), Remote Switch Port Analyzer (RSPAN), Class of Service (</w:t>
            </w:r>
            <w:proofErr w:type="spellStart"/>
            <w:r w:rsidRPr="00CF161D">
              <w:t>CoS</w:t>
            </w:r>
            <w:proofErr w:type="spellEnd"/>
            <w:r w:rsidRPr="00CF161D">
              <w:t xml:space="preserve">), </w:t>
            </w:r>
            <w:proofErr w:type="spellStart"/>
            <w:r w:rsidRPr="00CF161D">
              <w:t>Flexible</w:t>
            </w:r>
            <w:proofErr w:type="spellEnd"/>
            <w:r w:rsidRPr="00CF161D">
              <w:t xml:space="preserve"> </w:t>
            </w:r>
            <w:proofErr w:type="spellStart"/>
            <w:r w:rsidRPr="00CF161D">
              <w:t>NetFlow</w:t>
            </w:r>
            <w:proofErr w:type="spellEnd"/>
            <w:r w:rsidRPr="00CF161D">
              <w:t xml:space="preserve"> (FNF), obsługuje </w:t>
            </w:r>
            <w:proofErr w:type="spellStart"/>
            <w:r w:rsidRPr="00CF161D">
              <w:t>DiffServ</w:t>
            </w:r>
            <w:proofErr w:type="spellEnd"/>
            <w:r w:rsidRPr="00CF161D">
              <w:t xml:space="preserve"> </w:t>
            </w:r>
            <w:proofErr w:type="spellStart"/>
            <w:r w:rsidRPr="00CF161D">
              <w:t>Code</w:t>
            </w:r>
            <w:proofErr w:type="spellEnd"/>
            <w:r w:rsidRPr="00CF161D">
              <w:t xml:space="preserve"> Point (DSCP), </w:t>
            </w:r>
            <w:proofErr w:type="spellStart"/>
            <w:r w:rsidRPr="00CF161D">
              <w:t>obsługuej</w:t>
            </w:r>
            <w:proofErr w:type="spellEnd"/>
            <w:r w:rsidRPr="00CF161D">
              <w:t xml:space="preserve"> </w:t>
            </w:r>
            <w:proofErr w:type="spellStart"/>
            <w:r w:rsidRPr="00CF161D">
              <w:t>MACsec</w:t>
            </w:r>
            <w:proofErr w:type="spellEnd"/>
            <w:r w:rsidRPr="00CF161D">
              <w:t xml:space="preserve">, bufor pakietu 6 MB, Control </w:t>
            </w:r>
            <w:proofErr w:type="spellStart"/>
            <w:r w:rsidRPr="00CF161D">
              <w:t>plane</w:t>
            </w:r>
            <w:proofErr w:type="spellEnd"/>
            <w:r w:rsidRPr="00CF161D">
              <w:t xml:space="preserve"> </w:t>
            </w:r>
            <w:proofErr w:type="spellStart"/>
            <w:r w:rsidRPr="00CF161D">
              <w:t>protection</w:t>
            </w:r>
            <w:proofErr w:type="spellEnd"/>
            <w:r w:rsidRPr="00CF161D">
              <w:t xml:space="preserve"> (</w:t>
            </w:r>
            <w:proofErr w:type="spellStart"/>
            <w:r w:rsidRPr="00CF161D">
              <w:t>CoPP</w:t>
            </w:r>
            <w:proofErr w:type="spellEnd"/>
            <w:r w:rsidRPr="00CF161D">
              <w:t>), Source-</w:t>
            </w:r>
            <w:proofErr w:type="spellStart"/>
            <w:r w:rsidRPr="00CF161D">
              <w:t>Specific</w:t>
            </w:r>
            <w:proofErr w:type="spellEnd"/>
            <w:r w:rsidRPr="00CF161D">
              <w:t xml:space="preserve"> Multicast (SSM), Blue </w:t>
            </w:r>
            <w:proofErr w:type="spellStart"/>
            <w:r w:rsidRPr="00CF161D">
              <w:t>Beacon</w:t>
            </w:r>
            <w:proofErr w:type="spellEnd"/>
            <w:r w:rsidRPr="00CF161D">
              <w:t xml:space="preserve"> LED, Green Ethernet (EEE), </w:t>
            </w:r>
            <w:proofErr w:type="spellStart"/>
            <w:r w:rsidRPr="00CF161D">
              <w:t>Switched</w:t>
            </w:r>
            <w:proofErr w:type="spellEnd"/>
            <w:r w:rsidRPr="00CF161D">
              <w:t xml:space="preserve"> Port Analyzer (SPAN), Embedded Event Manager (EEM), </w:t>
            </w:r>
            <w:proofErr w:type="spellStart"/>
            <w:r w:rsidRPr="00CF161D">
              <w:t>Protocol</w:t>
            </w:r>
            <w:proofErr w:type="spellEnd"/>
            <w:r w:rsidRPr="00CF161D">
              <w:t xml:space="preserve"> Independent Multicast (PIM), First Hop Security (FHS), obsługa PVLAN, Superior </w:t>
            </w:r>
            <w:proofErr w:type="spellStart"/>
            <w:r w:rsidRPr="00CF161D">
              <w:t>QoS</w:t>
            </w:r>
            <w:proofErr w:type="spellEnd"/>
            <w:r w:rsidRPr="00CF161D">
              <w:t xml:space="preserve">, </w:t>
            </w:r>
            <w:proofErr w:type="spellStart"/>
            <w:r w:rsidRPr="00CF161D">
              <w:t>Committed</w:t>
            </w:r>
            <w:proofErr w:type="spellEnd"/>
            <w:r w:rsidRPr="00CF161D">
              <w:t xml:space="preserve"> Information </w:t>
            </w:r>
            <w:proofErr w:type="spellStart"/>
            <w:r w:rsidRPr="00CF161D">
              <w:t>Rate</w:t>
            </w:r>
            <w:proofErr w:type="spellEnd"/>
            <w:r w:rsidRPr="00CF161D">
              <w:t xml:space="preserve"> (CIR)</w:t>
            </w:r>
          </w:p>
        </w:tc>
      </w:tr>
      <w:tr w:rsidR="00CF161D" w:rsidRPr="00CF161D" w14:paraId="2553A95C" w14:textId="77777777" w:rsidTr="001D5146">
        <w:tc>
          <w:tcPr>
            <w:tcW w:w="1115" w:type="pct"/>
            <w:shd w:val="clear" w:color="auto" w:fill="FFFFFF"/>
            <w:tcMar>
              <w:top w:w="105" w:type="dxa"/>
              <w:left w:w="255" w:type="dxa"/>
              <w:bottom w:w="105" w:type="dxa"/>
              <w:right w:w="255" w:type="dxa"/>
            </w:tcMar>
            <w:hideMark/>
          </w:tcPr>
          <w:p w14:paraId="644484DF" w14:textId="77777777" w:rsidR="00CF161D" w:rsidRPr="00CF161D" w:rsidRDefault="00CF161D" w:rsidP="00CF161D">
            <w:pPr>
              <w:rPr>
                <w:b/>
                <w:bCs/>
              </w:rPr>
            </w:pPr>
            <w:r w:rsidRPr="00CF161D">
              <w:rPr>
                <w:b/>
                <w:bCs/>
              </w:rPr>
              <w:lastRenderedPageBreak/>
              <w:t>Zgodność z normami:</w:t>
            </w:r>
          </w:p>
        </w:tc>
        <w:tc>
          <w:tcPr>
            <w:tcW w:w="3885" w:type="pct"/>
            <w:shd w:val="clear" w:color="auto" w:fill="FFFFFF"/>
            <w:tcMar>
              <w:top w:w="105" w:type="dxa"/>
              <w:left w:w="255" w:type="dxa"/>
              <w:bottom w:w="105" w:type="dxa"/>
              <w:right w:w="255" w:type="dxa"/>
            </w:tcMar>
            <w:hideMark/>
          </w:tcPr>
          <w:p w14:paraId="33AA3F85" w14:textId="77777777" w:rsidR="00CF161D" w:rsidRPr="00CF161D" w:rsidRDefault="00CF161D" w:rsidP="00CF161D">
            <w:r w:rsidRPr="00CF161D">
              <w:t>IEEE 802.3, IEEE 802.3u, IEEE 802.3z, IEEE 802.1D, IEEE 802.1Q, IEEE 802.3ab, IEEE 802.1p, IEEE 802.3af, IEEE 802.3x, IEEE 802.3ad (LACP), IEEE 802.1w, IEEE 802.1x, IEEE 802.1s, IEEE 802.3at, IEEE 802.3bz</w:t>
            </w:r>
          </w:p>
        </w:tc>
      </w:tr>
      <w:tr w:rsidR="00CF161D" w:rsidRPr="00CF161D" w14:paraId="11574E85" w14:textId="77777777" w:rsidTr="001D5146">
        <w:tc>
          <w:tcPr>
            <w:tcW w:w="1115" w:type="pct"/>
            <w:shd w:val="clear" w:color="auto" w:fill="FFFFFF"/>
            <w:tcMar>
              <w:top w:w="105" w:type="dxa"/>
              <w:left w:w="255" w:type="dxa"/>
              <w:bottom w:w="105" w:type="dxa"/>
              <w:right w:w="255" w:type="dxa"/>
            </w:tcMar>
            <w:hideMark/>
          </w:tcPr>
          <w:p w14:paraId="1594F24F" w14:textId="77777777" w:rsidR="00CF161D" w:rsidRPr="00CF161D" w:rsidRDefault="00CF161D" w:rsidP="00CF161D">
            <w:pPr>
              <w:rPr>
                <w:b/>
                <w:bCs/>
              </w:rPr>
            </w:pPr>
            <w:r w:rsidRPr="00CF161D">
              <w:rPr>
                <w:b/>
                <w:bCs/>
              </w:rPr>
              <w:t>RAM:</w:t>
            </w:r>
          </w:p>
        </w:tc>
        <w:tc>
          <w:tcPr>
            <w:tcW w:w="3885" w:type="pct"/>
            <w:shd w:val="clear" w:color="auto" w:fill="FFFFFF"/>
            <w:tcMar>
              <w:top w:w="105" w:type="dxa"/>
              <w:left w:w="255" w:type="dxa"/>
              <w:bottom w:w="105" w:type="dxa"/>
              <w:right w:w="255" w:type="dxa"/>
            </w:tcMar>
            <w:hideMark/>
          </w:tcPr>
          <w:p w14:paraId="0E2089E8" w14:textId="77777777" w:rsidR="00CF161D" w:rsidRPr="00CF161D" w:rsidRDefault="00CF161D" w:rsidP="00CF161D">
            <w:r w:rsidRPr="00CF161D">
              <w:t>2 GB</w:t>
            </w:r>
          </w:p>
        </w:tc>
      </w:tr>
      <w:tr w:rsidR="00CF161D" w:rsidRPr="00CF161D" w14:paraId="0DE53B73" w14:textId="77777777" w:rsidTr="001D5146">
        <w:tc>
          <w:tcPr>
            <w:tcW w:w="1115" w:type="pct"/>
            <w:shd w:val="clear" w:color="auto" w:fill="FFFFFF"/>
            <w:tcMar>
              <w:top w:w="105" w:type="dxa"/>
              <w:left w:w="255" w:type="dxa"/>
              <w:bottom w:w="105" w:type="dxa"/>
              <w:right w:w="255" w:type="dxa"/>
            </w:tcMar>
            <w:hideMark/>
          </w:tcPr>
          <w:p w14:paraId="5D6BF17F" w14:textId="77777777" w:rsidR="00CF161D" w:rsidRPr="00CF161D" w:rsidRDefault="00CF161D" w:rsidP="00CF161D">
            <w:pPr>
              <w:rPr>
                <w:b/>
                <w:bCs/>
              </w:rPr>
            </w:pPr>
            <w:r w:rsidRPr="00CF161D">
              <w:rPr>
                <w:b/>
                <w:bCs/>
              </w:rPr>
              <w:t>Pamięć fleszowa:</w:t>
            </w:r>
          </w:p>
        </w:tc>
        <w:tc>
          <w:tcPr>
            <w:tcW w:w="3885" w:type="pct"/>
            <w:shd w:val="clear" w:color="auto" w:fill="FFFFFF"/>
            <w:tcMar>
              <w:top w:w="105" w:type="dxa"/>
              <w:left w:w="255" w:type="dxa"/>
              <w:bottom w:w="105" w:type="dxa"/>
              <w:right w:w="255" w:type="dxa"/>
            </w:tcMar>
            <w:hideMark/>
          </w:tcPr>
          <w:p w14:paraId="111C8349" w14:textId="77777777" w:rsidR="00CF161D" w:rsidRPr="00CF161D" w:rsidRDefault="00CF161D" w:rsidP="00CF161D">
            <w:r w:rsidRPr="00CF161D">
              <w:t>4 GB</w:t>
            </w:r>
          </w:p>
        </w:tc>
      </w:tr>
      <w:tr w:rsidR="00CF161D" w:rsidRPr="00CF161D" w14:paraId="59B57BCC" w14:textId="77777777" w:rsidTr="001D5146">
        <w:tc>
          <w:tcPr>
            <w:tcW w:w="1115" w:type="pct"/>
            <w:shd w:val="clear" w:color="auto" w:fill="FFFFFF"/>
            <w:tcMar>
              <w:top w:w="105" w:type="dxa"/>
              <w:left w:w="255" w:type="dxa"/>
              <w:bottom w:w="105" w:type="dxa"/>
              <w:right w:w="255" w:type="dxa"/>
            </w:tcMar>
          </w:tcPr>
          <w:p w14:paraId="2E265989" w14:textId="77777777" w:rsidR="00CF161D" w:rsidRPr="00CF161D" w:rsidRDefault="00CF161D" w:rsidP="00CF161D">
            <w:pPr>
              <w:rPr>
                <w:b/>
                <w:bCs/>
              </w:rPr>
            </w:pPr>
            <w:r w:rsidRPr="00CF161D">
              <w:rPr>
                <w:b/>
                <w:bCs/>
              </w:rPr>
              <w:t>Licencjonowanie:</w:t>
            </w:r>
          </w:p>
        </w:tc>
        <w:tc>
          <w:tcPr>
            <w:tcW w:w="3885" w:type="pct"/>
            <w:shd w:val="clear" w:color="auto" w:fill="FFFFFF"/>
            <w:tcMar>
              <w:top w:w="105" w:type="dxa"/>
              <w:left w:w="255" w:type="dxa"/>
              <w:bottom w:w="105" w:type="dxa"/>
              <w:right w:w="255" w:type="dxa"/>
            </w:tcMar>
          </w:tcPr>
          <w:p w14:paraId="10459D70" w14:textId="77777777" w:rsidR="00CF161D" w:rsidRPr="00CF161D" w:rsidRDefault="00CF161D" w:rsidP="00CF161D">
            <w:r w:rsidRPr="00CF161D">
              <w:t>Network Essentials + DNA Essentials 3Y</w:t>
            </w:r>
          </w:p>
        </w:tc>
      </w:tr>
      <w:tr w:rsidR="00CF161D" w:rsidRPr="00CF161D" w14:paraId="1C9E6885" w14:textId="77777777" w:rsidTr="001D5146">
        <w:tc>
          <w:tcPr>
            <w:tcW w:w="5000" w:type="pct"/>
            <w:gridSpan w:val="2"/>
            <w:shd w:val="clear" w:color="auto" w:fill="FFFFFF"/>
            <w:tcMar>
              <w:top w:w="105" w:type="dxa"/>
              <w:left w:w="255" w:type="dxa"/>
              <w:bottom w:w="105" w:type="dxa"/>
              <w:right w:w="255" w:type="dxa"/>
            </w:tcMar>
            <w:hideMark/>
          </w:tcPr>
          <w:p w14:paraId="225B1E19" w14:textId="77777777" w:rsidR="00CF161D" w:rsidRPr="00CF161D" w:rsidRDefault="00CF161D" w:rsidP="00CF161D">
            <w:pPr>
              <w:rPr>
                <w:b/>
                <w:bCs/>
                <w:u w:val="single"/>
              </w:rPr>
            </w:pPr>
            <w:r w:rsidRPr="00CF161D">
              <w:rPr>
                <w:b/>
                <w:bCs/>
                <w:u w:val="single"/>
              </w:rPr>
              <w:t>Rozszerzenie / połączenie</w:t>
            </w:r>
          </w:p>
        </w:tc>
      </w:tr>
      <w:tr w:rsidR="00CF161D" w:rsidRPr="00CF161D" w14:paraId="0AD06996" w14:textId="77777777" w:rsidTr="001D5146">
        <w:tc>
          <w:tcPr>
            <w:tcW w:w="1115" w:type="pct"/>
            <w:shd w:val="clear" w:color="auto" w:fill="FFFFFF"/>
            <w:tcMar>
              <w:top w:w="105" w:type="dxa"/>
              <w:left w:w="255" w:type="dxa"/>
              <w:bottom w:w="105" w:type="dxa"/>
              <w:right w:w="255" w:type="dxa"/>
            </w:tcMar>
            <w:hideMark/>
          </w:tcPr>
          <w:p w14:paraId="041C7C14" w14:textId="77777777" w:rsidR="00CF161D" w:rsidRPr="00CF161D" w:rsidRDefault="00CF161D" w:rsidP="00CF161D">
            <w:pPr>
              <w:rPr>
                <w:b/>
                <w:bCs/>
              </w:rPr>
            </w:pPr>
            <w:r w:rsidRPr="00CF161D">
              <w:rPr>
                <w:b/>
                <w:bCs/>
              </w:rPr>
              <w:t>Interfejsy:</w:t>
            </w:r>
          </w:p>
        </w:tc>
        <w:tc>
          <w:tcPr>
            <w:tcW w:w="3885" w:type="pct"/>
            <w:shd w:val="clear" w:color="auto" w:fill="FFFFFF"/>
            <w:tcMar>
              <w:top w:w="105" w:type="dxa"/>
              <w:left w:w="255" w:type="dxa"/>
              <w:bottom w:w="105" w:type="dxa"/>
              <w:right w:w="255" w:type="dxa"/>
            </w:tcMar>
            <w:hideMark/>
          </w:tcPr>
          <w:p w14:paraId="53D0C2DD" w14:textId="77777777" w:rsidR="00CF161D" w:rsidRPr="00CF161D" w:rsidRDefault="00CF161D" w:rsidP="00CF161D">
            <w:r w:rsidRPr="00CF161D">
              <w:t xml:space="preserve">48 x 1000Base-T RJ-45 </w:t>
            </w:r>
            <w:proofErr w:type="spellStart"/>
            <w:r w:rsidRPr="00CF161D">
              <w:t>PoE</w:t>
            </w:r>
            <w:proofErr w:type="spellEnd"/>
            <w:r w:rsidRPr="00CF161D">
              <w:t>+</w:t>
            </w:r>
            <w:r w:rsidRPr="00CF161D">
              <w:br/>
              <w:t>4 x 10GBase-X SFP+</w:t>
            </w:r>
          </w:p>
        </w:tc>
      </w:tr>
      <w:tr w:rsidR="00CF161D" w:rsidRPr="00CF161D" w14:paraId="6244A076" w14:textId="77777777" w:rsidTr="001D5146">
        <w:tc>
          <w:tcPr>
            <w:tcW w:w="5000" w:type="pct"/>
            <w:gridSpan w:val="2"/>
            <w:shd w:val="clear" w:color="auto" w:fill="FFFFFF"/>
            <w:tcMar>
              <w:top w:w="105" w:type="dxa"/>
              <w:left w:w="255" w:type="dxa"/>
              <w:bottom w:w="105" w:type="dxa"/>
              <w:right w:w="255" w:type="dxa"/>
            </w:tcMar>
            <w:hideMark/>
          </w:tcPr>
          <w:p w14:paraId="786F5609" w14:textId="77777777" w:rsidR="00CF161D" w:rsidRPr="00CF161D" w:rsidRDefault="00CF161D" w:rsidP="00CF161D">
            <w:pPr>
              <w:rPr>
                <w:b/>
                <w:bCs/>
                <w:u w:val="single"/>
              </w:rPr>
            </w:pPr>
            <w:r w:rsidRPr="00CF161D">
              <w:rPr>
                <w:b/>
                <w:bCs/>
                <w:u w:val="single"/>
              </w:rPr>
              <w:t>Zasilanie</w:t>
            </w:r>
          </w:p>
        </w:tc>
      </w:tr>
      <w:tr w:rsidR="00CF161D" w:rsidRPr="00CF161D" w14:paraId="56A1BB56" w14:textId="77777777" w:rsidTr="001D5146">
        <w:tc>
          <w:tcPr>
            <w:tcW w:w="1115" w:type="pct"/>
            <w:shd w:val="clear" w:color="auto" w:fill="FFFFFF"/>
            <w:tcMar>
              <w:top w:w="105" w:type="dxa"/>
              <w:left w:w="255" w:type="dxa"/>
              <w:bottom w:w="105" w:type="dxa"/>
              <w:right w:w="255" w:type="dxa"/>
            </w:tcMar>
            <w:hideMark/>
          </w:tcPr>
          <w:p w14:paraId="7DCCBF2E" w14:textId="77777777" w:rsidR="00CF161D" w:rsidRPr="00CF161D" w:rsidRDefault="00CF161D" w:rsidP="00CF161D">
            <w:pPr>
              <w:rPr>
                <w:b/>
                <w:bCs/>
              </w:rPr>
            </w:pPr>
            <w:r w:rsidRPr="00CF161D">
              <w:rPr>
                <w:b/>
                <w:bCs/>
              </w:rPr>
              <w:t>Zasilacz:</w:t>
            </w:r>
          </w:p>
        </w:tc>
        <w:tc>
          <w:tcPr>
            <w:tcW w:w="3885" w:type="pct"/>
            <w:shd w:val="clear" w:color="auto" w:fill="FFFFFF"/>
            <w:tcMar>
              <w:top w:w="105" w:type="dxa"/>
              <w:left w:w="255" w:type="dxa"/>
              <w:bottom w:w="105" w:type="dxa"/>
              <w:right w:w="255" w:type="dxa"/>
            </w:tcMar>
            <w:hideMark/>
          </w:tcPr>
          <w:p w14:paraId="32CF52A1" w14:textId="77777777" w:rsidR="00CF161D" w:rsidRPr="00CF161D" w:rsidRDefault="00CF161D" w:rsidP="00CF161D">
            <w:r w:rsidRPr="00CF161D">
              <w:t>Adapter mocy wewnętrznej - hot-plug</w:t>
            </w:r>
          </w:p>
        </w:tc>
      </w:tr>
      <w:tr w:rsidR="00CF161D" w:rsidRPr="00CF161D" w14:paraId="1E2E18E9" w14:textId="77777777" w:rsidTr="001D5146">
        <w:tc>
          <w:tcPr>
            <w:tcW w:w="1115" w:type="pct"/>
            <w:shd w:val="clear" w:color="auto" w:fill="FFFFFF"/>
            <w:tcMar>
              <w:top w:w="105" w:type="dxa"/>
              <w:left w:w="255" w:type="dxa"/>
              <w:bottom w:w="105" w:type="dxa"/>
              <w:right w:w="255" w:type="dxa"/>
            </w:tcMar>
            <w:hideMark/>
          </w:tcPr>
          <w:p w14:paraId="159CABB6" w14:textId="77777777" w:rsidR="00CF161D" w:rsidRPr="00CF161D" w:rsidRDefault="00CF161D" w:rsidP="00CF161D">
            <w:pPr>
              <w:rPr>
                <w:b/>
                <w:bCs/>
              </w:rPr>
            </w:pPr>
            <w:r w:rsidRPr="00CF161D">
              <w:rPr>
                <w:b/>
                <w:bCs/>
              </w:rPr>
              <w:t>Ilość zainstalowanych:</w:t>
            </w:r>
          </w:p>
        </w:tc>
        <w:tc>
          <w:tcPr>
            <w:tcW w:w="3885" w:type="pct"/>
            <w:shd w:val="clear" w:color="auto" w:fill="FFFFFF"/>
            <w:tcMar>
              <w:top w:w="105" w:type="dxa"/>
              <w:left w:w="255" w:type="dxa"/>
              <w:bottom w:w="105" w:type="dxa"/>
              <w:right w:w="255" w:type="dxa"/>
            </w:tcMar>
            <w:hideMark/>
          </w:tcPr>
          <w:p w14:paraId="367413F3" w14:textId="77777777" w:rsidR="00CF161D" w:rsidRPr="00CF161D" w:rsidRDefault="00CF161D" w:rsidP="00CF161D">
            <w:r w:rsidRPr="00CF161D">
              <w:t>1/2</w:t>
            </w:r>
          </w:p>
        </w:tc>
      </w:tr>
      <w:tr w:rsidR="00CF161D" w:rsidRPr="00CF161D" w14:paraId="4F0D61EA" w14:textId="77777777" w:rsidTr="001D5146">
        <w:tc>
          <w:tcPr>
            <w:tcW w:w="1115" w:type="pct"/>
            <w:shd w:val="clear" w:color="auto" w:fill="FFFFFF"/>
            <w:tcMar>
              <w:top w:w="105" w:type="dxa"/>
              <w:left w:w="255" w:type="dxa"/>
              <w:bottom w:w="105" w:type="dxa"/>
              <w:right w:w="255" w:type="dxa"/>
            </w:tcMar>
            <w:hideMark/>
          </w:tcPr>
          <w:p w14:paraId="697E6EFF" w14:textId="77777777" w:rsidR="00CF161D" w:rsidRPr="00CF161D" w:rsidRDefault="00CF161D" w:rsidP="00CF161D">
            <w:pPr>
              <w:rPr>
                <w:b/>
                <w:bCs/>
              </w:rPr>
            </w:pPr>
            <w:r w:rsidRPr="00CF161D">
              <w:rPr>
                <w:b/>
                <w:bCs/>
              </w:rPr>
              <w:t>Zasilanie nadmiarowe:</w:t>
            </w:r>
          </w:p>
        </w:tc>
        <w:tc>
          <w:tcPr>
            <w:tcW w:w="3885" w:type="pct"/>
            <w:shd w:val="clear" w:color="auto" w:fill="FFFFFF"/>
            <w:tcMar>
              <w:top w:w="105" w:type="dxa"/>
              <w:left w:w="255" w:type="dxa"/>
              <w:bottom w:w="105" w:type="dxa"/>
              <w:right w:w="255" w:type="dxa"/>
            </w:tcMar>
            <w:hideMark/>
          </w:tcPr>
          <w:p w14:paraId="32750A00" w14:textId="77777777" w:rsidR="00CF161D" w:rsidRPr="00CF161D" w:rsidRDefault="00CF161D" w:rsidP="00CF161D">
            <w:r w:rsidRPr="00CF161D">
              <w:t>Tak, system musi zapewnić ciągłość działania urządzenia nawet w przypadku awarii głównego źródła zasilania</w:t>
            </w:r>
          </w:p>
        </w:tc>
      </w:tr>
      <w:tr w:rsidR="00CF161D" w:rsidRPr="00CF161D" w14:paraId="1B4138A5" w14:textId="77777777" w:rsidTr="001D5146">
        <w:tc>
          <w:tcPr>
            <w:tcW w:w="1115" w:type="pct"/>
            <w:shd w:val="clear" w:color="auto" w:fill="FFFFFF"/>
            <w:tcMar>
              <w:top w:w="105" w:type="dxa"/>
              <w:left w:w="255" w:type="dxa"/>
              <w:bottom w:w="105" w:type="dxa"/>
              <w:right w:w="255" w:type="dxa"/>
            </w:tcMar>
            <w:hideMark/>
          </w:tcPr>
          <w:p w14:paraId="4F722586" w14:textId="77777777" w:rsidR="00CF161D" w:rsidRPr="00CF161D" w:rsidRDefault="00CF161D" w:rsidP="00CF161D">
            <w:pPr>
              <w:rPr>
                <w:b/>
                <w:bCs/>
              </w:rPr>
            </w:pPr>
            <w:r w:rsidRPr="00CF161D">
              <w:rPr>
                <w:b/>
                <w:bCs/>
              </w:rPr>
              <w:t>Wymagane napięcie:</w:t>
            </w:r>
          </w:p>
        </w:tc>
        <w:tc>
          <w:tcPr>
            <w:tcW w:w="3885" w:type="pct"/>
            <w:shd w:val="clear" w:color="auto" w:fill="FFFFFF"/>
            <w:tcMar>
              <w:top w:w="105" w:type="dxa"/>
              <w:left w:w="255" w:type="dxa"/>
              <w:bottom w:w="105" w:type="dxa"/>
              <w:right w:w="255" w:type="dxa"/>
            </w:tcMar>
            <w:hideMark/>
          </w:tcPr>
          <w:p w14:paraId="69166583" w14:textId="77777777" w:rsidR="00CF161D" w:rsidRPr="00CF161D" w:rsidRDefault="00CF161D" w:rsidP="00CF161D">
            <w:r w:rsidRPr="00CF161D">
              <w:t xml:space="preserve">AC 230 V (50 - 60 </w:t>
            </w:r>
            <w:proofErr w:type="spellStart"/>
            <w:r w:rsidRPr="00CF161D">
              <w:t>Hz</w:t>
            </w:r>
            <w:proofErr w:type="spellEnd"/>
            <w:r w:rsidRPr="00CF161D">
              <w:t>)</w:t>
            </w:r>
          </w:p>
        </w:tc>
      </w:tr>
      <w:tr w:rsidR="00CF161D" w:rsidRPr="00CF161D" w14:paraId="5CB5116B" w14:textId="77777777" w:rsidTr="001D5146">
        <w:tc>
          <w:tcPr>
            <w:tcW w:w="5000" w:type="pct"/>
            <w:gridSpan w:val="2"/>
            <w:shd w:val="clear" w:color="auto" w:fill="FFFFFF"/>
            <w:tcMar>
              <w:top w:w="105" w:type="dxa"/>
              <w:left w:w="255" w:type="dxa"/>
              <w:bottom w:w="105" w:type="dxa"/>
              <w:right w:w="255" w:type="dxa"/>
            </w:tcMar>
            <w:hideMark/>
          </w:tcPr>
          <w:p w14:paraId="3026D48E" w14:textId="77777777" w:rsidR="00CF161D" w:rsidRPr="00CF161D" w:rsidRDefault="00CF161D" w:rsidP="00CF161D">
            <w:pPr>
              <w:rPr>
                <w:b/>
                <w:bCs/>
                <w:u w:val="single"/>
              </w:rPr>
            </w:pPr>
            <w:r w:rsidRPr="00CF161D">
              <w:rPr>
                <w:b/>
                <w:bCs/>
                <w:u w:val="single"/>
              </w:rPr>
              <w:t>Różne</w:t>
            </w:r>
          </w:p>
        </w:tc>
      </w:tr>
      <w:tr w:rsidR="00CF161D" w:rsidRPr="00CF161D" w14:paraId="2F337897" w14:textId="77777777" w:rsidTr="001D5146">
        <w:tc>
          <w:tcPr>
            <w:tcW w:w="1115" w:type="pct"/>
            <w:shd w:val="clear" w:color="auto" w:fill="FFFFFF"/>
            <w:tcMar>
              <w:top w:w="105" w:type="dxa"/>
              <w:left w:w="255" w:type="dxa"/>
              <w:bottom w:w="105" w:type="dxa"/>
              <w:right w:w="255" w:type="dxa"/>
            </w:tcMar>
            <w:hideMark/>
          </w:tcPr>
          <w:p w14:paraId="296A1ACD" w14:textId="77777777" w:rsidR="00CF161D" w:rsidRPr="00CF161D" w:rsidRDefault="00CF161D" w:rsidP="00CF161D">
            <w:pPr>
              <w:rPr>
                <w:b/>
                <w:bCs/>
              </w:rPr>
            </w:pPr>
            <w:r w:rsidRPr="00CF161D">
              <w:rPr>
                <w:b/>
                <w:bCs/>
              </w:rPr>
              <w:t>MTBF:</w:t>
            </w:r>
          </w:p>
        </w:tc>
        <w:tc>
          <w:tcPr>
            <w:tcW w:w="3885" w:type="pct"/>
            <w:shd w:val="clear" w:color="auto" w:fill="FFFFFF"/>
            <w:tcMar>
              <w:top w:w="105" w:type="dxa"/>
              <w:left w:w="255" w:type="dxa"/>
              <w:bottom w:w="105" w:type="dxa"/>
              <w:right w:w="255" w:type="dxa"/>
            </w:tcMar>
            <w:hideMark/>
          </w:tcPr>
          <w:p w14:paraId="6692F7A6" w14:textId="77777777" w:rsidR="00CF161D" w:rsidRPr="00CF161D" w:rsidRDefault="00CF161D" w:rsidP="00CF161D">
            <w:r w:rsidRPr="00CF161D">
              <w:t>346,270 godziny</w:t>
            </w:r>
          </w:p>
        </w:tc>
      </w:tr>
      <w:tr w:rsidR="00CF161D" w:rsidRPr="00CF161D" w14:paraId="56E8D6A6" w14:textId="77777777" w:rsidTr="001D5146">
        <w:tc>
          <w:tcPr>
            <w:tcW w:w="1115" w:type="pct"/>
            <w:shd w:val="clear" w:color="auto" w:fill="FFFFFF"/>
            <w:tcMar>
              <w:top w:w="105" w:type="dxa"/>
              <w:left w:w="255" w:type="dxa"/>
              <w:bottom w:w="105" w:type="dxa"/>
              <w:right w:w="255" w:type="dxa"/>
            </w:tcMar>
            <w:hideMark/>
          </w:tcPr>
          <w:p w14:paraId="64A6182A" w14:textId="77777777" w:rsidR="00CF161D" w:rsidRPr="00CF161D" w:rsidRDefault="00CF161D" w:rsidP="00CF161D">
            <w:pPr>
              <w:rPr>
                <w:b/>
                <w:bCs/>
              </w:rPr>
            </w:pPr>
            <w:r w:rsidRPr="00CF161D">
              <w:rPr>
                <w:b/>
                <w:bCs/>
              </w:rPr>
              <w:t>Zgodność z normami:</w:t>
            </w:r>
          </w:p>
        </w:tc>
        <w:tc>
          <w:tcPr>
            <w:tcW w:w="3885" w:type="pct"/>
            <w:shd w:val="clear" w:color="auto" w:fill="FFFFFF"/>
            <w:tcMar>
              <w:top w:w="105" w:type="dxa"/>
              <w:left w:w="255" w:type="dxa"/>
              <w:bottom w:w="105" w:type="dxa"/>
              <w:right w:w="255" w:type="dxa"/>
            </w:tcMar>
            <w:hideMark/>
          </w:tcPr>
          <w:p w14:paraId="52F9DEE5" w14:textId="77777777" w:rsidR="00CF161D" w:rsidRPr="00CF161D" w:rsidRDefault="00CF161D" w:rsidP="00CF161D">
            <w:r w:rsidRPr="00CF161D">
              <w:t xml:space="preserve">Plug and Play, CISPR 22 Class A, CISPR 24, EN 61000-3-2, EN 61000-3-3, EN55024, AS/NZS 60950-1, ICES-003 Class A, FCC CFR47 Part 15, UL 60950-1, IEC 60950-1, EN 60950-1, AES-128, </w:t>
            </w:r>
            <w:proofErr w:type="spellStart"/>
            <w:r w:rsidRPr="00CF161D">
              <w:t>RoHS</w:t>
            </w:r>
            <w:proofErr w:type="spellEnd"/>
            <w:r w:rsidRPr="00CF161D">
              <w:t>, CNS 13438, EN 55022 Class A, EN 300 386, KN32, KN35, EN 55032 Class A, CISPR 32 Class A, CAN/CSA-C22.2 No. 60950-1, TCVN 7189 Class A, V-3 Class A, TCVN 7317</w:t>
            </w:r>
          </w:p>
        </w:tc>
      </w:tr>
      <w:tr w:rsidR="00CF161D" w:rsidRPr="00CF161D" w14:paraId="608C99F4" w14:textId="77777777" w:rsidTr="001D5146">
        <w:tc>
          <w:tcPr>
            <w:tcW w:w="5000" w:type="pct"/>
            <w:gridSpan w:val="2"/>
            <w:shd w:val="clear" w:color="auto" w:fill="FFFFFF"/>
            <w:tcMar>
              <w:top w:w="105" w:type="dxa"/>
              <w:left w:w="255" w:type="dxa"/>
              <w:bottom w:w="105" w:type="dxa"/>
              <w:right w:w="255" w:type="dxa"/>
            </w:tcMar>
            <w:hideMark/>
          </w:tcPr>
          <w:p w14:paraId="3D7F87E1" w14:textId="77777777" w:rsidR="00CF161D" w:rsidRPr="00CF161D" w:rsidRDefault="00CF161D" w:rsidP="00CF161D">
            <w:pPr>
              <w:rPr>
                <w:b/>
                <w:bCs/>
                <w:u w:val="single"/>
              </w:rPr>
            </w:pPr>
            <w:r w:rsidRPr="00CF161D">
              <w:rPr>
                <w:b/>
                <w:bCs/>
                <w:u w:val="single"/>
              </w:rPr>
              <w:t>Wymiary i waga</w:t>
            </w:r>
          </w:p>
        </w:tc>
      </w:tr>
      <w:tr w:rsidR="00CF161D" w:rsidRPr="00CF161D" w14:paraId="1DCCF365" w14:textId="77777777" w:rsidTr="001D5146">
        <w:tc>
          <w:tcPr>
            <w:tcW w:w="1115" w:type="pct"/>
            <w:shd w:val="clear" w:color="auto" w:fill="FFFFFF"/>
            <w:tcMar>
              <w:top w:w="105" w:type="dxa"/>
              <w:left w:w="255" w:type="dxa"/>
              <w:bottom w:w="105" w:type="dxa"/>
              <w:right w:w="255" w:type="dxa"/>
            </w:tcMar>
            <w:hideMark/>
          </w:tcPr>
          <w:p w14:paraId="0CFB0FF8" w14:textId="77777777" w:rsidR="00CF161D" w:rsidRPr="00CF161D" w:rsidRDefault="00CF161D" w:rsidP="00CF161D">
            <w:pPr>
              <w:rPr>
                <w:b/>
                <w:bCs/>
              </w:rPr>
            </w:pPr>
            <w:r w:rsidRPr="00CF161D">
              <w:rPr>
                <w:b/>
                <w:bCs/>
              </w:rPr>
              <w:t>Szerokość:</w:t>
            </w:r>
          </w:p>
        </w:tc>
        <w:tc>
          <w:tcPr>
            <w:tcW w:w="3885" w:type="pct"/>
            <w:shd w:val="clear" w:color="auto" w:fill="FFFFFF"/>
            <w:tcMar>
              <w:top w:w="105" w:type="dxa"/>
              <w:left w:w="255" w:type="dxa"/>
              <w:bottom w:w="105" w:type="dxa"/>
              <w:right w:w="255" w:type="dxa"/>
            </w:tcMar>
            <w:hideMark/>
          </w:tcPr>
          <w:p w14:paraId="16A046E8" w14:textId="77777777" w:rsidR="00CF161D" w:rsidRPr="00CF161D" w:rsidRDefault="00CF161D" w:rsidP="00CF161D">
            <w:r w:rsidRPr="00CF161D">
              <w:t>44.5 cm</w:t>
            </w:r>
          </w:p>
        </w:tc>
      </w:tr>
      <w:tr w:rsidR="00CF161D" w:rsidRPr="00CF161D" w14:paraId="4DD44D4B" w14:textId="77777777" w:rsidTr="001D5146">
        <w:tc>
          <w:tcPr>
            <w:tcW w:w="1115" w:type="pct"/>
            <w:shd w:val="clear" w:color="auto" w:fill="FFFFFF"/>
            <w:tcMar>
              <w:top w:w="105" w:type="dxa"/>
              <w:left w:w="255" w:type="dxa"/>
              <w:bottom w:w="105" w:type="dxa"/>
              <w:right w:w="255" w:type="dxa"/>
            </w:tcMar>
            <w:hideMark/>
          </w:tcPr>
          <w:p w14:paraId="5AA23D9C" w14:textId="77777777" w:rsidR="00CF161D" w:rsidRPr="00CF161D" w:rsidRDefault="00CF161D" w:rsidP="00CF161D">
            <w:pPr>
              <w:rPr>
                <w:b/>
                <w:bCs/>
              </w:rPr>
            </w:pPr>
            <w:r w:rsidRPr="00CF161D">
              <w:rPr>
                <w:b/>
                <w:bCs/>
              </w:rPr>
              <w:t>Głębokość:</w:t>
            </w:r>
          </w:p>
        </w:tc>
        <w:tc>
          <w:tcPr>
            <w:tcW w:w="3885" w:type="pct"/>
            <w:shd w:val="clear" w:color="auto" w:fill="FFFFFF"/>
            <w:tcMar>
              <w:top w:w="105" w:type="dxa"/>
              <w:left w:w="255" w:type="dxa"/>
              <w:bottom w:w="105" w:type="dxa"/>
              <w:right w:w="255" w:type="dxa"/>
            </w:tcMar>
            <w:hideMark/>
          </w:tcPr>
          <w:p w14:paraId="1D22744C" w14:textId="77777777" w:rsidR="00CF161D" w:rsidRPr="00CF161D" w:rsidRDefault="00CF161D" w:rsidP="00CF161D">
            <w:r w:rsidRPr="00CF161D">
              <w:t>4.4 cm</w:t>
            </w:r>
          </w:p>
        </w:tc>
      </w:tr>
      <w:tr w:rsidR="00CF161D" w:rsidRPr="00CF161D" w14:paraId="060DB44E" w14:textId="77777777" w:rsidTr="001D5146">
        <w:tc>
          <w:tcPr>
            <w:tcW w:w="1115" w:type="pct"/>
            <w:shd w:val="clear" w:color="auto" w:fill="FFFFFF"/>
            <w:tcMar>
              <w:top w:w="105" w:type="dxa"/>
              <w:left w:w="255" w:type="dxa"/>
              <w:bottom w:w="105" w:type="dxa"/>
              <w:right w:w="255" w:type="dxa"/>
            </w:tcMar>
            <w:hideMark/>
          </w:tcPr>
          <w:p w14:paraId="64A60D3C" w14:textId="77777777" w:rsidR="00CF161D" w:rsidRPr="00CF161D" w:rsidRDefault="00CF161D" w:rsidP="00CF161D">
            <w:pPr>
              <w:rPr>
                <w:b/>
                <w:bCs/>
              </w:rPr>
            </w:pPr>
            <w:r w:rsidRPr="00CF161D">
              <w:rPr>
                <w:b/>
                <w:bCs/>
              </w:rPr>
              <w:t>Wysokość:</w:t>
            </w:r>
          </w:p>
        </w:tc>
        <w:tc>
          <w:tcPr>
            <w:tcW w:w="3885" w:type="pct"/>
            <w:shd w:val="clear" w:color="auto" w:fill="FFFFFF"/>
            <w:tcMar>
              <w:top w:w="105" w:type="dxa"/>
              <w:left w:w="255" w:type="dxa"/>
              <w:bottom w:w="105" w:type="dxa"/>
              <w:right w:w="255" w:type="dxa"/>
            </w:tcMar>
            <w:hideMark/>
          </w:tcPr>
          <w:p w14:paraId="5156B294" w14:textId="77777777" w:rsidR="00CF161D" w:rsidRPr="00CF161D" w:rsidRDefault="00CF161D" w:rsidP="00CF161D">
            <w:r w:rsidRPr="00CF161D">
              <w:t>28.8 cm</w:t>
            </w:r>
          </w:p>
        </w:tc>
      </w:tr>
      <w:tr w:rsidR="00CF161D" w:rsidRPr="00CF161D" w14:paraId="44AF12ED" w14:textId="77777777" w:rsidTr="001D5146">
        <w:tc>
          <w:tcPr>
            <w:tcW w:w="1115" w:type="pct"/>
            <w:shd w:val="clear" w:color="auto" w:fill="FFFFFF"/>
            <w:tcMar>
              <w:top w:w="105" w:type="dxa"/>
              <w:left w:w="255" w:type="dxa"/>
              <w:bottom w:w="105" w:type="dxa"/>
              <w:right w:w="255" w:type="dxa"/>
            </w:tcMar>
            <w:hideMark/>
          </w:tcPr>
          <w:p w14:paraId="56CAD453" w14:textId="77777777" w:rsidR="00CF161D" w:rsidRPr="00CF161D" w:rsidRDefault="00CF161D" w:rsidP="00CF161D">
            <w:pPr>
              <w:rPr>
                <w:b/>
                <w:bCs/>
              </w:rPr>
            </w:pPr>
            <w:r w:rsidRPr="00CF161D">
              <w:rPr>
                <w:b/>
                <w:bCs/>
              </w:rPr>
              <w:lastRenderedPageBreak/>
              <w:t>Waga:</w:t>
            </w:r>
          </w:p>
        </w:tc>
        <w:tc>
          <w:tcPr>
            <w:tcW w:w="3885" w:type="pct"/>
            <w:shd w:val="clear" w:color="auto" w:fill="FFFFFF"/>
            <w:tcMar>
              <w:top w:w="105" w:type="dxa"/>
              <w:left w:w="255" w:type="dxa"/>
              <w:bottom w:w="105" w:type="dxa"/>
              <w:right w:w="255" w:type="dxa"/>
            </w:tcMar>
            <w:hideMark/>
          </w:tcPr>
          <w:p w14:paraId="3E4052A3" w14:textId="77777777" w:rsidR="00CF161D" w:rsidRPr="00CF161D" w:rsidRDefault="00CF161D" w:rsidP="00CF161D">
            <w:r w:rsidRPr="00CF161D">
              <w:t>4.8 kg</w:t>
            </w:r>
          </w:p>
        </w:tc>
      </w:tr>
      <w:tr w:rsidR="00CF161D" w:rsidRPr="00CF161D" w14:paraId="47329E22" w14:textId="77777777" w:rsidTr="001D5146">
        <w:tc>
          <w:tcPr>
            <w:tcW w:w="5000" w:type="pct"/>
            <w:gridSpan w:val="2"/>
            <w:shd w:val="clear" w:color="auto" w:fill="FFFFFF"/>
            <w:tcMar>
              <w:top w:w="105" w:type="dxa"/>
              <w:left w:w="255" w:type="dxa"/>
              <w:bottom w:w="105" w:type="dxa"/>
              <w:right w:w="255" w:type="dxa"/>
            </w:tcMar>
            <w:hideMark/>
          </w:tcPr>
          <w:p w14:paraId="0B75F487" w14:textId="77777777" w:rsidR="00CF161D" w:rsidRPr="00CF161D" w:rsidRDefault="00CF161D" w:rsidP="00CF161D">
            <w:pPr>
              <w:rPr>
                <w:b/>
                <w:bCs/>
                <w:u w:val="single"/>
              </w:rPr>
            </w:pPr>
            <w:r w:rsidRPr="00CF161D">
              <w:rPr>
                <w:b/>
                <w:bCs/>
                <w:u w:val="single"/>
              </w:rPr>
              <w:t xml:space="preserve">Gwarancja </w:t>
            </w:r>
          </w:p>
        </w:tc>
      </w:tr>
      <w:tr w:rsidR="00CF161D" w:rsidRPr="00CF161D" w14:paraId="3B758FA1" w14:textId="77777777" w:rsidTr="001D5146">
        <w:tc>
          <w:tcPr>
            <w:tcW w:w="1115" w:type="pct"/>
            <w:shd w:val="clear" w:color="auto" w:fill="FFFFFF"/>
            <w:tcMar>
              <w:top w:w="105" w:type="dxa"/>
              <w:left w:w="255" w:type="dxa"/>
              <w:bottom w:w="105" w:type="dxa"/>
              <w:right w:w="255" w:type="dxa"/>
            </w:tcMar>
            <w:hideMark/>
          </w:tcPr>
          <w:p w14:paraId="7BE955F0" w14:textId="77777777" w:rsidR="00CF161D" w:rsidRPr="00CF161D" w:rsidRDefault="00CF161D" w:rsidP="00CF161D">
            <w:pPr>
              <w:rPr>
                <w:b/>
                <w:bCs/>
              </w:rPr>
            </w:pPr>
            <w:r w:rsidRPr="00CF161D">
              <w:rPr>
                <w:b/>
                <w:bCs/>
              </w:rPr>
              <w:t>Obsługa i wsparcie:</w:t>
            </w:r>
          </w:p>
        </w:tc>
        <w:tc>
          <w:tcPr>
            <w:tcW w:w="3885" w:type="pct"/>
            <w:shd w:val="clear" w:color="auto" w:fill="FFFFFF"/>
            <w:tcMar>
              <w:top w:w="105" w:type="dxa"/>
              <w:left w:w="255" w:type="dxa"/>
              <w:bottom w:w="105" w:type="dxa"/>
              <w:right w:w="255" w:type="dxa"/>
            </w:tcMar>
            <w:hideMark/>
          </w:tcPr>
          <w:p w14:paraId="4192E55A" w14:textId="77777777" w:rsidR="00CF161D" w:rsidRPr="00CF161D" w:rsidRDefault="00CF161D" w:rsidP="00CF161D">
            <w:r w:rsidRPr="00CF161D">
              <w:t>Gwarancja rozszerzona - zaawansowana wymiana części - dożywotnia - czas reakcji: następny dzień roboczy</w:t>
            </w:r>
          </w:p>
        </w:tc>
      </w:tr>
      <w:tr w:rsidR="00CF161D" w:rsidRPr="00CF161D" w14:paraId="1C17C8A2" w14:textId="77777777" w:rsidTr="001D5146">
        <w:tc>
          <w:tcPr>
            <w:tcW w:w="5000" w:type="pct"/>
            <w:gridSpan w:val="2"/>
            <w:shd w:val="clear" w:color="auto" w:fill="FFFFFF"/>
            <w:tcMar>
              <w:top w:w="105" w:type="dxa"/>
              <w:left w:w="255" w:type="dxa"/>
              <w:bottom w:w="105" w:type="dxa"/>
              <w:right w:w="255" w:type="dxa"/>
            </w:tcMar>
            <w:hideMark/>
          </w:tcPr>
          <w:p w14:paraId="2813D67A" w14:textId="77777777" w:rsidR="00CF161D" w:rsidRPr="00CF161D" w:rsidRDefault="00CF161D" w:rsidP="00CF161D">
            <w:pPr>
              <w:rPr>
                <w:b/>
                <w:bCs/>
                <w:u w:val="single"/>
              </w:rPr>
            </w:pPr>
            <w:r w:rsidRPr="00CF161D">
              <w:rPr>
                <w:b/>
                <w:bCs/>
                <w:u w:val="single"/>
              </w:rPr>
              <w:t>Parametry środowiska</w:t>
            </w:r>
          </w:p>
        </w:tc>
      </w:tr>
      <w:tr w:rsidR="00CF161D" w:rsidRPr="00CF161D" w14:paraId="2BF544BC" w14:textId="77777777" w:rsidTr="001D5146">
        <w:tc>
          <w:tcPr>
            <w:tcW w:w="1115" w:type="pct"/>
            <w:shd w:val="clear" w:color="auto" w:fill="FFFFFF"/>
            <w:tcMar>
              <w:top w:w="105" w:type="dxa"/>
              <w:left w:w="255" w:type="dxa"/>
              <w:bottom w:w="105" w:type="dxa"/>
              <w:right w:w="255" w:type="dxa"/>
            </w:tcMar>
            <w:hideMark/>
          </w:tcPr>
          <w:p w14:paraId="5778BF2C" w14:textId="77777777" w:rsidR="00CF161D" w:rsidRPr="00CF161D" w:rsidRDefault="00CF161D" w:rsidP="00CF161D">
            <w:pPr>
              <w:rPr>
                <w:b/>
                <w:bCs/>
              </w:rPr>
            </w:pPr>
            <w:r w:rsidRPr="00CF161D">
              <w:rPr>
                <w:b/>
                <w:bCs/>
              </w:rPr>
              <w:t>Dopuszczalna wilgotność:</w:t>
            </w:r>
          </w:p>
        </w:tc>
        <w:tc>
          <w:tcPr>
            <w:tcW w:w="3885" w:type="pct"/>
            <w:shd w:val="clear" w:color="auto" w:fill="FFFFFF"/>
            <w:tcMar>
              <w:top w:w="105" w:type="dxa"/>
              <w:left w:w="255" w:type="dxa"/>
              <w:bottom w:w="105" w:type="dxa"/>
              <w:right w:w="255" w:type="dxa"/>
            </w:tcMar>
            <w:hideMark/>
          </w:tcPr>
          <w:p w14:paraId="4E4AF065" w14:textId="77777777" w:rsidR="00CF161D" w:rsidRPr="00CF161D" w:rsidRDefault="00CF161D" w:rsidP="00CF161D">
            <w:r w:rsidRPr="00CF161D">
              <w:t>5 - 90% (non-</w:t>
            </w:r>
            <w:proofErr w:type="spellStart"/>
            <w:r w:rsidRPr="00CF161D">
              <w:t>condensing</w:t>
            </w:r>
            <w:proofErr w:type="spellEnd"/>
            <w:r w:rsidRPr="00CF161D">
              <w:t>)</w:t>
            </w:r>
          </w:p>
        </w:tc>
      </w:tr>
      <w:tr w:rsidR="00CF161D" w:rsidRPr="00CF161D" w14:paraId="7A228BBF" w14:textId="77777777" w:rsidTr="001D5146">
        <w:tc>
          <w:tcPr>
            <w:tcW w:w="1115" w:type="pct"/>
            <w:shd w:val="clear" w:color="auto" w:fill="FFFFFF"/>
            <w:tcMar>
              <w:top w:w="105" w:type="dxa"/>
              <w:left w:w="255" w:type="dxa"/>
              <w:bottom w:w="105" w:type="dxa"/>
              <w:right w:w="255" w:type="dxa"/>
            </w:tcMar>
            <w:hideMark/>
          </w:tcPr>
          <w:p w14:paraId="7B5AA54D" w14:textId="77777777" w:rsidR="00CF161D" w:rsidRPr="00CF161D" w:rsidRDefault="00CF161D" w:rsidP="00CF161D">
            <w:pPr>
              <w:rPr>
                <w:b/>
                <w:bCs/>
              </w:rPr>
            </w:pPr>
            <w:r w:rsidRPr="00CF161D">
              <w:rPr>
                <w:b/>
                <w:bCs/>
              </w:rPr>
              <w:t>Min. temperatura przechowywania:</w:t>
            </w:r>
          </w:p>
        </w:tc>
        <w:tc>
          <w:tcPr>
            <w:tcW w:w="3885" w:type="pct"/>
            <w:shd w:val="clear" w:color="auto" w:fill="FFFFFF"/>
            <w:tcMar>
              <w:top w:w="105" w:type="dxa"/>
              <w:left w:w="255" w:type="dxa"/>
              <w:bottom w:w="105" w:type="dxa"/>
              <w:right w:w="255" w:type="dxa"/>
            </w:tcMar>
            <w:hideMark/>
          </w:tcPr>
          <w:p w14:paraId="5F848656" w14:textId="77777777" w:rsidR="00CF161D" w:rsidRPr="00CF161D" w:rsidRDefault="00CF161D" w:rsidP="00CF161D">
            <w:r w:rsidRPr="00CF161D">
              <w:t>-40 °C</w:t>
            </w:r>
          </w:p>
        </w:tc>
      </w:tr>
      <w:tr w:rsidR="00CF161D" w:rsidRPr="00CF161D" w14:paraId="78CF1328" w14:textId="77777777" w:rsidTr="001D5146">
        <w:tc>
          <w:tcPr>
            <w:tcW w:w="1115" w:type="pct"/>
            <w:shd w:val="clear" w:color="auto" w:fill="FFFFFF"/>
            <w:tcMar>
              <w:top w:w="105" w:type="dxa"/>
              <w:left w:w="255" w:type="dxa"/>
              <w:bottom w:w="105" w:type="dxa"/>
              <w:right w:w="255" w:type="dxa"/>
            </w:tcMar>
            <w:hideMark/>
          </w:tcPr>
          <w:p w14:paraId="1A581DEB" w14:textId="77777777" w:rsidR="00CF161D" w:rsidRPr="00CF161D" w:rsidRDefault="00CF161D" w:rsidP="00CF161D">
            <w:pPr>
              <w:rPr>
                <w:b/>
                <w:bCs/>
              </w:rPr>
            </w:pPr>
            <w:r w:rsidRPr="00CF161D">
              <w:rPr>
                <w:b/>
                <w:bCs/>
              </w:rPr>
              <w:t>Maks. temperatura przechowywania:</w:t>
            </w:r>
          </w:p>
        </w:tc>
        <w:tc>
          <w:tcPr>
            <w:tcW w:w="3885" w:type="pct"/>
            <w:shd w:val="clear" w:color="auto" w:fill="FFFFFF"/>
            <w:tcMar>
              <w:top w:w="105" w:type="dxa"/>
              <w:left w:w="255" w:type="dxa"/>
              <w:bottom w:w="105" w:type="dxa"/>
              <w:right w:w="255" w:type="dxa"/>
            </w:tcMar>
            <w:hideMark/>
          </w:tcPr>
          <w:p w14:paraId="418079D7" w14:textId="77777777" w:rsidR="00CF161D" w:rsidRPr="00CF161D" w:rsidRDefault="00CF161D" w:rsidP="00CF161D">
            <w:r w:rsidRPr="00CF161D">
              <w:t>70 °C</w:t>
            </w:r>
          </w:p>
        </w:tc>
      </w:tr>
    </w:tbl>
    <w:p w14:paraId="0BC2DE63" w14:textId="77777777" w:rsidR="008C13A8" w:rsidRDefault="008C13A8">
      <w:bookmarkStart w:id="0" w:name="_GoBack"/>
      <w:bookmarkEnd w:id="0"/>
    </w:p>
    <w:sectPr w:rsidR="008C13A8" w:rsidSect="00CF16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DB"/>
    <w:rsid w:val="008C13A8"/>
    <w:rsid w:val="00CF161D"/>
    <w:rsid w:val="00D948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7543C-19E9-4C5D-B5BC-47E5087A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D776F-10B0-4DC5-BD69-6F258BBE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2413</Characters>
  <Application>Microsoft Office Word</Application>
  <DocSecurity>0</DocSecurity>
  <Lines>20</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Krezymon Arkadiusz</dc:creator>
  <cp:keywords/>
  <dc:description/>
  <cp:lastModifiedBy>Krezymon Arkadiusz</cp:lastModifiedBy>
  <cp:revision>2</cp:revision>
  <dcterms:created xsi:type="dcterms:W3CDTF">2025-11-03T13:27:00Z</dcterms:created>
  <dcterms:modified xsi:type="dcterms:W3CDTF">2025-11-03T13:27:00Z</dcterms:modified>
</cp:coreProperties>
</file>